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BA4E" w14:textId="4D019936" w:rsidR="004E0C40" w:rsidRPr="00C60302" w:rsidRDefault="00C60302" w:rsidP="00C60302">
      <w:pPr>
        <w:jc w:val="center"/>
        <w:rPr>
          <w:b/>
          <w:bCs/>
          <w:sz w:val="28"/>
          <w:szCs w:val="28"/>
        </w:rPr>
      </w:pPr>
      <w:r w:rsidRPr="00C60302">
        <w:rPr>
          <w:b/>
          <w:bCs/>
          <w:sz w:val="28"/>
          <w:szCs w:val="28"/>
        </w:rPr>
        <w:t>FIȘA MĂSURII</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0"/>
        <w:gridCol w:w="4212"/>
        <w:gridCol w:w="1641"/>
      </w:tblGrid>
      <w:tr w:rsidR="00C60302" w:rsidRPr="001D74E3" w14:paraId="7FF5FE41" w14:textId="77777777" w:rsidTr="00EA1C7C">
        <w:trPr>
          <w:trHeight w:val="283"/>
          <w:jc w:val="center"/>
        </w:trPr>
        <w:tc>
          <w:tcPr>
            <w:tcW w:w="3040" w:type="dxa"/>
            <w:shd w:val="clear" w:color="auto" w:fill="2E75B5"/>
            <w:vAlign w:val="center"/>
          </w:tcPr>
          <w:p w14:paraId="1B01CD8E" w14:textId="77777777" w:rsidR="00C60302" w:rsidRPr="001D74E3" w:rsidRDefault="00C60302" w:rsidP="00EA1C7C">
            <w:pPr>
              <w:spacing w:line="276" w:lineRule="auto"/>
              <w:rPr>
                <w:b/>
                <w:color w:val="FFFFFF"/>
                <w:lang w:val="ro-RO"/>
              </w:rPr>
            </w:pPr>
            <w:r w:rsidRPr="001D74E3">
              <w:rPr>
                <w:b/>
                <w:color w:val="FFFFFF"/>
                <w:lang w:val="ro-RO"/>
              </w:rPr>
              <w:t>Denumirea măsurii</w:t>
            </w:r>
          </w:p>
        </w:tc>
        <w:tc>
          <w:tcPr>
            <w:tcW w:w="5853" w:type="dxa"/>
            <w:gridSpan w:val="2"/>
            <w:shd w:val="clear" w:color="auto" w:fill="2E75B5"/>
            <w:vAlign w:val="center"/>
          </w:tcPr>
          <w:p w14:paraId="2F3784FF" w14:textId="77777777" w:rsidR="00C60302" w:rsidRPr="001D74E3" w:rsidRDefault="00C60302" w:rsidP="00EA1C7C">
            <w:pPr>
              <w:spacing w:line="276" w:lineRule="auto"/>
              <w:rPr>
                <w:b/>
                <w:color w:val="FFFFFF"/>
                <w:lang w:val="ro-RO"/>
              </w:rPr>
            </w:pPr>
            <w:r w:rsidRPr="001D74E3">
              <w:rPr>
                <w:b/>
                <w:color w:val="FFFFFF"/>
                <w:lang w:val="ro-RO"/>
              </w:rPr>
              <w:t>Dezvoltarea durabilă a satelor</w:t>
            </w:r>
          </w:p>
        </w:tc>
      </w:tr>
      <w:tr w:rsidR="00C60302" w:rsidRPr="001D74E3" w14:paraId="604D8106" w14:textId="77777777" w:rsidTr="00EA1C7C">
        <w:trPr>
          <w:trHeight w:val="253"/>
          <w:jc w:val="center"/>
        </w:trPr>
        <w:tc>
          <w:tcPr>
            <w:tcW w:w="3040" w:type="dxa"/>
            <w:shd w:val="clear" w:color="auto" w:fill="auto"/>
            <w:vAlign w:val="center"/>
          </w:tcPr>
          <w:p w14:paraId="1B27F8BB" w14:textId="77777777" w:rsidR="00C60302" w:rsidRPr="001D74E3" w:rsidRDefault="00C60302" w:rsidP="00EA1C7C">
            <w:pPr>
              <w:spacing w:line="276" w:lineRule="auto"/>
              <w:rPr>
                <w:b/>
                <w:color w:val="000000"/>
                <w:lang w:val="ro-RO"/>
              </w:rPr>
            </w:pPr>
            <w:r w:rsidRPr="001D74E3">
              <w:rPr>
                <w:b/>
                <w:color w:val="000000"/>
                <w:lang w:val="ro-RO"/>
              </w:rPr>
              <w:t>Codul măsurii</w:t>
            </w:r>
          </w:p>
        </w:tc>
        <w:tc>
          <w:tcPr>
            <w:tcW w:w="5853" w:type="dxa"/>
            <w:gridSpan w:val="2"/>
            <w:shd w:val="clear" w:color="auto" w:fill="auto"/>
            <w:vAlign w:val="center"/>
          </w:tcPr>
          <w:p w14:paraId="677DCDD0" w14:textId="77777777" w:rsidR="00C60302" w:rsidRPr="001D74E3" w:rsidRDefault="00C60302" w:rsidP="00EA1C7C">
            <w:pPr>
              <w:spacing w:line="276" w:lineRule="auto"/>
              <w:rPr>
                <w:b/>
                <w:lang w:val="ro-RO"/>
              </w:rPr>
            </w:pPr>
            <w:r w:rsidRPr="001D74E3">
              <w:rPr>
                <w:b/>
                <w:lang w:val="ro-RO"/>
              </w:rPr>
              <w:t>Măsura  M1/6B</w:t>
            </w:r>
          </w:p>
        </w:tc>
      </w:tr>
      <w:tr w:rsidR="00C60302" w:rsidRPr="001D74E3" w14:paraId="64EAC415" w14:textId="77777777" w:rsidTr="00EA1C7C">
        <w:trPr>
          <w:trHeight w:val="273"/>
          <w:jc w:val="center"/>
        </w:trPr>
        <w:tc>
          <w:tcPr>
            <w:tcW w:w="3040" w:type="dxa"/>
            <w:shd w:val="clear" w:color="auto" w:fill="auto"/>
            <w:vAlign w:val="center"/>
          </w:tcPr>
          <w:p w14:paraId="185BA291" w14:textId="77777777" w:rsidR="00C60302" w:rsidRPr="001D74E3" w:rsidRDefault="00C60302" w:rsidP="00EA1C7C">
            <w:pPr>
              <w:spacing w:line="276" w:lineRule="auto"/>
              <w:rPr>
                <w:b/>
                <w:color w:val="000000"/>
                <w:lang w:val="ro-RO"/>
              </w:rPr>
            </w:pPr>
            <w:r w:rsidRPr="001D74E3">
              <w:rPr>
                <w:b/>
                <w:color w:val="000000"/>
                <w:lang w:val="ro-RO"/>
              </w:rPr>
              <w:t>Tipul măsurii</w:t>
            </w:r>
          </w:p>
        </w:tc>
        <w:tc>
          <w:tcPr>
            <w:tcW w:w="5853" w:type="dxa"/>
            <w:gridSpan w:val="2"/>
            <w:shd w:val="clear" w:color="auto" w:fill="auto"/>
            <w:vAlign w:val="center"/>
          </w:tcPr>
          <w:p w14:paraId="0E7850EC" w14:textId="77777777" w:rsidR="00C60302" w:rsidRPr="001D74E3" w:rsidRDefault="00C60302" w:rsidP="00EA1C7C">
            <w:pPr>
              <w:pBdr>
                <w:top w:val="nil"/>
                <w:left w:val="nil"/>
                <w:bottom w:val="nil"/>
                <w:right w:val="nil"/>
                <w:between w:val="nil"/>
              </w:pBdr>
              <w:spacing w:line="276" w:lineRule="auto"/>
              <w:jc w:val="left"/>
              <w:rPr>
                <w:rFonts w:eastAsia="Trebuchet MS"/>
                <w:color w:val="000000"/>
                <w:szCs w:val="22"/>
                <w:lang w:val="ro-RO"/>
              </w:rPr>
            </w:pPr>
            <w:r w:rsidRPr="001D74E3">
              <w:rPr>
                <w:rFonts w:ascii="Wingdings" w:eastAsia="Wingdings" w:hAnsi="Wingdings" w:cs="Wingdings"/>
                <w:color w:val="000000"/>
                <w:szCs w:val="22"/>
                <w:lang w:val="ro-RO"/>
              </w:rPr>
              <w:t>⌧</w:t>
            </w:r>
            <w:r w:rsidRPr="001D74E3">
              <w:rPr>
                <w:rFonts w:eastAsia="Trebuchet MS"/>
                <w:color w:val="000000"/>
                <w:szCs w:val="22"/>
                <w:lang w:val="ro-RO"/>
              </w:rPr>
              <w:t xml:space="preserve"> </w:t>
            </w:r>
            <w:r w:rsidRPr="001D74E3">
              <w:rPr>
                <w:rFonts w:ascii="Arial" w:eastAsia="Arial" w:hAnsi="Arial" w:cs="Arial"/>
                <w:b/>
                <w:color w:val="000000"/>
                <w:szCs w:val="22"/>
                <w:lang w:val="ro-RO"/>
              </w:rPr>
              <w:t>INVESTIȚII</w:t>
            </w:r>
            <w:r w:rsidRPr="001D74E3">
              <w:rPr>
                <w:rFonts w:eastAsia="Trebuchet MS"/>
                <w:color w:val="000000"/>
                <w:szCs w:val="22"/>
                <w:lang w:val="ro-RO"/>
              </w:rPr>
              <w:t xml:space="preserve"> </w:t>
            </w:r>
          </w:p>
          <w:p w14:paraId="38C522B6" w14:textId="77777777" w:rsidR="00C60302" w:rsidRPr="001D74E3" w:rsidRDefault="00C60302" w:rsidP="00EA1C7C">
            <w:pPr>
              <w:pBdr>
                <w:top w:val="nil"/>
                <w:left w:val="nil"/>
                <w:bottom w:val="nil"/>
                <w:right w:val="nil"/>
                <w:between w:val="nil"/>
              </w:pBdr>
              <w:spacing w:line="276" w:lineRule="auto"/>
              <w:jc w:val="left"/>
              <w:rPr>
                <w:rFonts w:eastAsia="Trebuchet MS"/>
                <w:color w:val="000000"/>
                <w:szCs w:val="22"/>
                <w:lang w:val="ro-RO"/>
              </w:rPr>
            </w:pPr>
            <w:r w:rsidRPr="001D74E3">
              <w:rPr>
                <w:rFonts w:ascii="Wingdings" w:eastAsia="Wingdings" w:hAnsi="Wingdings" w:cs="Wingdings"/>
                <w:color w:val="000000"/>
                <w:szCs w:val="22"/>
                <w:lang w:val="ro-RO"/>
              </w:rPr>
              <w:t>◻</w:t>
            </w:r>
            <w:r w:rsidRPr="001D74E3">
              <w:rPr>
                <w:rFonts w:eastAsia="Trebuchet MS"/>
                <w:color w:val="000000"/>
                <w:szCs w:val="22"/>
                <w:lang w:val="ro-RO"/>
              </w:rPr>
              <w:t xml:space="preserve"> </w:t>
            </w:r>
            <w:r w:rsidRPr="001D74E3">
              <w:rPr>
                <w:rFonts w:eastAsia="Trebuchet MS"/>
                <w:b/>
                <w:color w:val="000000"/>
                <w:szCs w:val="22"/>
                <w:lang w:val="ro-RO"/>
              </w:rPr>
              <w:t>SERVICII</w:t>
            </w:r>
            <w:r w:rsidRPr="001D74E3">
              <w:rPr>
                <w:rFonts w:eastAsia="Trebuchet MS"/>
                <w:color w:val="000000"/>
                <w:szCs w:val="22"/>
                <w:lang w:val="ro-RO"/>
              </w:rPr>
              <w:t xml:space="preserve"> </w:t>
            </w:r>
          </w:p>
          <w:p w14:paraId="7DD163B3" w14:textId="77777777" w:rsidR="00C60302" w:rsidRPr="001D74E3" w:rsidRDefault="00C60302" w:rsidP="00EA1C7C">
            <w:pPr>
              <w:pBdr>
                <w:top w:val="nil"/>
                <w:left w:val="nil"/>
                <w:bottom w:val="nil"/>
                <w:right w:val="nil"/>
                <w:between w:val="nil"/>
              </w:pBdr>
              <w:spacing w:line="276" w:lineRule="auto"/>
              <w:rPr>
                <w:rFonts w:eastAsia="Trebuchet MS"/>
                <w:color w:val="000000"/>
                <w:szCs w:val="22"/>
                <w:lang w:val="ro-RO"/>
              </w:rPr>
            </w:pPr>
            <w:r w:rsidRPr="001D74E3">
              <w:rPr>
                <w:rFonts w:ascii="Wingdings" w:eastAsia="Wingdings" w:hAnsi="Wingdings" w:cs="Wingdings"/>
                <w:color w:val="000000"/>
                <w:szCs w:val="22"/>
                <w:lang w:val="ro-RO"/>
              </w:rPr>
              <w:t>◻</w:t>
            </w:r>
            <w:r w:rsidRPr="001D74E3">
              <w:rPr>
                <w:rFonts w:eastAsia="Trebuchet MS"/>
                <w:color w:val="000000"/>
                <w:szCs w:val="22"/>
                <w:lang w:val="ro-RO"/>
              </w:rPr>
              <w:t xml:space="preserve"> </w:t>
            </w:r>
            <w:r w:rsidRPr="001D74E3">
              <w:rPr>
                <w:rFonts w:eastAsia="Trebuchet MS"/>
                <w:b/>
                <w:color w:val="000000"/>
                <w:szCs w:val="22"/>
                <w:lang w:val="ro-RO"/>
              </w:rPr>
              <w:t>SPRIJIN FORFETAR</w:t>
            </w:r>
            <w:r w:rsidRPr="001D74E3">
              <w:rPr>
                <w:rFonts w:eastAsia="Trebuchet MS"/>
                <w:color w:val="000000"/>
                <w:szCs w:val="22"/>
                <w:lang w:val="ro-RO"/>
              </w:rPr>
              <w:t xml:space="preserve"> </w:t>
            </w:r>
          </w:p>
        </w:tc>
      </w:tr>
      <w:tr w:rsidR="00C60302" w:rsidRPr="00C60302" w14:paraId="7C35EAAA" w14:textId="77777777" w:rsidTr="00EA1C7C">
        <w:trPr>
          <w:trHeight w:val="394"/>
          <w:jc w:val="center"/>
        </w:trPr>
        <w:tc>
          <w:tcPr>
            <w:tcW w:w="8893" w:type="dxa"/>
            <w:gridSpan w:val="3"/>
            <w:shd w:val="clear" w:color="auto" w:fill="auto"/>
            <w:vAlign w:val="center"/>
          </w:tcPr>
          <w:p w14:paraId="1D7155CA" w14:textId="77777777" w:rsidR="00C60302" w:rsidRPr="001D74E3"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1D74E3">
              <w:rPr>
                <w:rFonts w:eastAsia="Trebuchet MS"/>
                <w:b/>
                <w:color w:val="000000"/>
                <w:szCs w:val="22"/>
                <w:lang w:val="ro-RO"/>
              </w:rPr>
              <w:t>Descrierea generală a măsurii</w:t>
            </w:r>
          </w:p>
          <w:p w14:paraId="1FF4D909" w14:textId="77777777" w:rsidR="00C60302" w:rsidRPr="001D74E3" w:rsidRDefault="00C60302" w:rsidP="00EA1C7C">
            <w:pPr>
              <w:spacing w:line="276" w:lineRule="auto"/>
              <w:rPr>
                <w:lang w:val="ro-RO"/>
              </w:rPr>
            </w:pPr>
            <w:r w:rsidRPr="001D74E3">
              <w:rPr>
                <w:b/>
                <w:lang w:val="ro-RO"/>
              </w:rPr>
              <w:t>Obiectivul</w:t>
            </w:r>
            <w:r w:rsidRPr="001D74E3">
              <w:rPr>
                <w:lang w:val="ro-RO"/>
              </w:rPr>
              <w:t xml:space="preserve"> acestei măsuri vizează îmbunătăţirea condițiilor de viață pentru populaţie, asigurarea accesului la serviciile de bază şi protejarea moştenirii culturale şi naturale din spaţiul rural în vederea realizării unei dezvoltări durabile.</w:t>
            </w:r>
          </w:p>
          <w:p w14:paraId="0F370005" w14:textId="77777777" w:rsidR="00C60302" w:rsidRPr="00EA1C7C" w:rsidRDefault="00C60302" w:rsidP="00EA1C7C">
            <w:pPr>
              <w:spacing w:line="276" w:lineRule="auto"/>
              <w:rPr>
                <w:lang w:val="ro-RO"/>
              </w:rPr>
            </w:pPr>
            <w:r w:rsidRPr="00EA1C7C">
              <w:rPr>
                <w:lang w:val="ro-RO"/>
              </w:rPr>
              <w:t>Măsura are în vedere încurajarea dezvoltării satelor în principal pe baza patrimoniului cultural (imobil, mobil, imaterial) și natural local, respectiv prin dezvoltarea serviciilor de bază, în special a celor de agrement, cultural, turistic, și a infrastructurii aferente.</w:t>
            </w:r>
          </w:p>
          <w:p w14:paraId="4C0879CF" w14:textId="77777777" w:rsidR="00C60302" w:rsidRPr="00EA1C7C" w:rsidRDefault="00C60302" w:rsidP="00EA1C7C">
            <w:pPr>
              <w:spacing w:line="276" w:lineRule="auto"/>
              <w:rPr>
                <w:lang w:val="ro-RO"/>
              </w:rPr>
            </w:pPr>
            <w:r w:rsidRPr="00EA1C7C">
              <w:rPr>
                <w:b/>
                <w:lang w:val="ro-RO"/>
              </w:rPr>
              <w:t>Scopul</w:t>
            </w:r>
            <w:r w:rsidRPr="00EA1C7C">
              <w:rPr>
                <w:lang w:val="ro-RO"/>
              </w:rPr>
              <w:t xml:space="preserve"> măsurii este încurajarea investițiilor în crearea, îmbunătățirea sau extinderea serviciilor locale de bază destinate populației rurale, a investițiilor de uz public în infrastructura de agrement, în informarea turiștilor și în infrastructura turistică la scară mică, acțiuni importante pentru stimularea unui stil de viață sănătos, dezvoltarea mediului de afaceri local și reprezintă elemente esențiale pentru creşterea calităţii vieţii și care pot conduce la inversarea tendințelor de declin economic, social și de depopulare a zonelor rurale.</w:t>
            </w:r>
          </w:p>
        </w:tc>
      </w:tr>
      <w:tr w:rsidR="00C60302" w:rsidRPr="001D74E3" w14:paraId="4090F0D7" w14:textId="77777777" w:rsidTr="00EA1C7C">
        <w:trPr>
          <w:trHeight w:val="350"/>
          <w:jc w:val="center"/>
        </w:trPr>
        <w:tc>
          <w:tcPr>
            <w:tcW w:w="3040" w:type="dxa"/>
            <w:shd w:val="clear" w:color="auto" w:fill="auto"/>
            <w:vAlign w:val="center"/>
          </w:tcPr>
          <w:p w14:paraId="3B786E40" w14:textId="77777777" w:rsidR="00C60302" w:rsidRPr="00EA1C7C"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EA1C7C">
              <w:rPr>
                <w:rFonts w:ascii="Arial" w:eastAsia="Arial" w:hAnsi="Arial" w:cs="Arial"/>
                <w:b/>
                <w:color w:val="000000"/>
                <w:szCs w:val="22"/>
                <w:lang w:val="ro-RO"/>
              </w:rPr>
              <w:t>Justificare și corelare cu analiza SWOT</w:t>
            </w:r>
          </w:p>
        </w:tc>
        <w:tc>
          <w:tcPr>
            <w:tcW w:w="5853" w:type="dxa"/>
            <w:gridSpan w:val="2"/>
            <w:shd w:val="clear" w:color="auto" w:fill="auto"/>
            <w:vAlign w:val="center"/>
          </w:tcPr>
          <w:p w14:paraId="162A55B5" w14:textId="77777777" w:rsidR="00C60302" w:rsidRPr="00EA1C7C" w:rsidRDefault="00C60302" w:rsidP="00EA1C7C">
            <w:pPr>
              <w:spacing w:line="276" w:lineRule="auto"/>
              <w:ind w:left="57"/>
              <w:rPr>
                <w:lang w:val="ro-RO"/>
              </w:rPr>
            </w:pPr>
            <w:r w:rsidRPr="00EA1C7C">
              <w:rPr>
                <w:lang w:val="ro-RO"/>
              </w:rPr>
              <w:t xml:space="preserve">În cadrul analizei SWOT s-a identificat un patrimoniu bogat existent în teritoriu, </w:t>
            </w:r>
            <w:r w:rsidRPr="00EA1C7C">
              <w:rPr>
                <w:b/>
                <w:lang w:val="ro-RO"/>
              </w:rPr>
              <w:t>imobil</w:t>
            </w:r>
            <w:r w:rsidRPr="00EA1C7C">
              <w:rPr>
                <w:lang w:val="ro-RO"/>
              </w:rPr>
              <w:t xml:space="preserve"> (castele și cetăți, conace, case memoriale, biserici și obiective religioase vechi, etc.), </w:t>
            </w:r>
            <w:r w:rsidRPr="00EA1C7C">
              <w:rPr>
                <w:b/>
                <w:lang w:val="ro-RO"/>
              </w:rPr>
              <w:t>mobil</w:t>
            </w:r>
            <w:r w:rsidRPr="00EA1C7C">
              <w:rPr>
                <w:rFonts w:ascii="Arial" w:eastAsia="Arial" w:hAnsi="Arial" w:cs="Arial"/>
                <w:lang w:val="ro-RO"/>
              </w:rPr>
              <w:t xml:space="preserve"> (muzee, colecții, etc.), </w:t>
            </w:r>
            <w:r w:rsidRPr="00EA1C7C">
              <w:rPr>
                <w:b/>
                <w:lang w:val="ro-RO"/>
              </w:rPr>
              <w:t>imaterial</w:t>
            </w:r>
            <w:r w:rsidRPr="00EA1C7C">
              <w:rPr>
                <w:lang w:val="ro-RO"/>
              </w:rPr>
              <w:t xml:space="preserve"> (tradiții, practici sociale, ritualuri si evenimente festive, tehnici și obiceiuri legate de meșteșuguri tradiționale, gastronomie tradițională, etc.) și </w:t>
            </w:r>
            <w:r w:rsidRPr="00EA1C7C">
              <w:rPr>
                <w:b/>
                <w:lang w:val="ro-RO"/>
              </w:rPr>
              <w:t>natural</w:t>
            </w:r>
            <w:r w:rsidRPr="00EA1C7C">
              <w:rPr>
                <w:lang w:val="ro-RO"/>
              </w:rPr>
              <w:t xml:space="preserve"> (arii naturale protejate, situri Natura 2000, zone eco-turistice, etc.) însă starea precară a acestora, slaba documentare despre patrimoniul imaterial, întreținerea și starea deficitară a zonelor de arii naturale de înaltă valoare, respectiv lipsa unei abordări integrate în vederea valorificării acestora, pot conduce la degradarea și dispariția lor. </w:t>
            </w:r>
          </w:p>
          <w:p w14:paraId="7126CD07" w14:textId="77777777" w:rsidR="00C60302" w:rsidRPr="00EA1C7C" w:rsidRDefault="00C60302" w:rsidP="00EA1C7C">
            <w:pPr>
              <w:spacing w:line="276" w:lineRule="auto"/>
              <w:ind w:left="57"/>
              <w:rPr>
                <w:lang w:val="ro-RO"/>
              </w:rPr>
            </w:pPr>
            <w:r w:rsidRPr="00EA1C7C">
              <w:rPr>
                <w:lang w:val="ro-RO"/>
              </w:rPr>
              <w:t xml:space="preserve">Întreținerea, refacerea și modernizarea acestui patrimoniu va asigura menținerea identității locale, a tradițiilor și a moştenirii spirituale și va stimula activitățile de turism rural, contribuind astfel la atractivitatea zonei și la creșterea economică în comunitățile locale. </w:t>
            </w:r>
          </w:p>
          <w:p w14:paraId="7894824C" w14:textId="77777777" w:rsidR="00C60302" w:rsidRPr="00EA1C7C" w:rsidRDefault="00C60302" w:rsidP="00EA1C7C">
            <w:pPr>
              <w:spacing w:line="276" w:lineRule="auto"/>
              <w:ind w:left="57"/>
              <w:rPr>
                <w:lang w:val="ro-RO"/>
              </w:rPr>
            </w:pPr>
            <w:r w:rsidRPr="00EA1C7C">
              <w:rPr>
                <w:lang w:val="ro-RO"/>
              </w:rPr>
              <w:t xml:space="preserve">Totodată în vederea asigurării unei dezvoltări a calității vieții în teritoriu considerăm necesare investițiile propuse prin această măsură, astfel încurajând acțiuni legate de îmbunătățirea sau extinderea serviciilor locale de bază destinate populației rurale, în special a celor de agrement și culturale, și a infrastructurii aferente. </w:t>
            </w:r>
          </w:p>
          <w:p w14:paraId="74578814" w14:textId="77777777" w:rsidR="00C60302" w:rsidRPr="00EA1C7C" w:rsidRDefault="00C60302" w:rsidP="00EA1C7C">
            <w:pPr>
              <w:spacing w:line="276" w:lineRule="auto"/>
              <w:ind w:left="57"/>
              <w:rPr>
                <w:lang w:val="ro-RO"/>
              </w:rPr>
            </w:pPr>
            <w:r w:rsidRPr="00EA1C7C">
              <w:rPr>
                <w:lang w:val="ro-RO"/>
              </w:rPr>
              <w:lastRenderedPageBreak/>
              <w:t xml:space="preserve">Măsura va contribui la dezvoltarea turistică a zonei, atragerea turiștilor în teritoriu, respectiv va stimula dezvoltarea mediului antreprenorial pentru dezvoltarea unor servicii/produse complementare în turism cum ar fi: facilități de cazare, activități recreative, sportive, produse și activități meșteșugărești, etc. </w:t>
            </w:r>
          </w:p>
          <w:p w14:paraId="5D0C6BD0" w14:textId="77777777" w:rsidR="00C60302" w:rsidRPr="001D74E3" w:rsidRDefault="00C60302" w:rsidP="00EA1C7C">
            <w:pPr>
              <w:spacing w:line="276" w:lineRule="auto"/>
              <w:ind w:left="57"/>
              <w:rPr>
                <w:lang w:val="ro-RO"/>
              </w:rPr>
            </w:pPr>
            <w:r w:rsidRPr="001D74E3">
              <w:rPr>
                <w:lang w:val="ro-RO"/>
              </w:rPr>
              <w:t>Acțiunile măsurii contribuie la revitalizarea zonei și la promovarea turismului cultural și durabil.</w:t>
            </w:r>
          </w:p>
        </w:tc>
      </w:tr>
      <w:tr w:rsidR="00C60302" w:rsidRPr="00C60302" w14:paraId="572FDF31" w14:textId="77777777" w:rsidTr="00EA1C7C">
        <w:trPr>
          <w:trHeight w:val="431"/>
          <w:jc w:val="center"/>
        </w:trPr>
        <w:tc>
          <w:tcPr>
            <w:tcW w:w="3040" w:type="dxa"/>
            <w:shd w:val="clear" w:color="auto" w:fill="auto"/>
            <w:vAlign w:val="center"/>
          </w:tcPr>
          <w:p w14:paraId="13743FA0" w14:textId="77777777" w:rsidR="00C60302" w:rsidRPr="001D74E3"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EA1C7C">
              <w:rPr>
                <w:rFonts w:eastAsia="Trebuchet MS"/>
                <w:b/>
                <w:color w:val="000000"/>
                <w:szCs w:val="22"/>
                <w:lang w:val="ro-RO"/>
              </w:rPr>
              <w:lastRenderedPageBreak/>
              <w:t xml:space="preserve">Obiectiv(e) de dezvoltare rurală al Reg. </w:t>
            </w:r>
            <w:r w:rsidRPr="001D74E3">
              <w:rPr>
                <w:rFonts w:eastAsia="Trebuchet MS"/>
                <w:b/>
                <w:color w:val="000000"/>
                <w:szCs w:val="22"/>
                <w:lang w:val="ro-RO"/>
              </w:rPr>
              <w:t>(UE) 1305/2013, art.4</w:t>
            </w:r>
          </w:p>
        </w:tc>
        <w:tc>
          <w:tcPr>
            <w:tcW w:w="5853" w:type="dxa"/>
            <w:gridSpan w:val="2"/>
            <w:shd w:val="clear" w:color="auto" w:fill="auto"/>
            <w:vAlign w:val="center"/>
          </w:tcPr>
          <w:p w14:paraId="6DB99698" w14:textId="77777777" w:rsidR="00C60302" w:rsidRPr="00EA1C7C" w:rsidRDefault="00C60302" w:rsidP="00EA1C7C">
            <w:pPr>
              <w:tabs>
                <w:tab w:val="left" w:pos="231"/>
              </w:tabs>
              <w:spacing w:line="276" w:lineRule="auto"/>
              <w:ind w:left="57"/>
              <w:rPr>
                <w:b/>
                <w:lang w:val="ro-RO"/>
              </w:rPr>
            </w:pPr>
            <w:r w:rsidRPr="00EA1C7C">
              <w:rPr>
                <w:b/>
                <w:lang w:val="ro-RO"/>
              </w:rPr>
              <w:t>Măsura contribuie la următoarele obiective de dezvoltare rurală:</w:t>
            </w:r>
          </w:p>
          <w:p w14:paraId="03D32B46" w14:textId="77777777" w:rsidR="00C60302" w:rsidRPr="00EA1C7C" w:rsidRDefault="00C60302" w:rsidP="00EA1C7C">
            <w:pPr>
              <w:spacing w:line="276" w:lineRule="auto"/>
              <w:ind w:left="57"/>
              <w:rPr>
                <w:highlight w:val="yellow"/>
                <w:lang w:val="ro-RO"/>
              </w:rPr>
            </w:pPr>
            <w:bookmarkStart w:id="0" w:name="bookmark=id.17dp8vu" w:colFirst="0" w:colLast="0"/>
            <w:bookmarkStart w:id="1" w:name="bookmark=id.3rdcrjn" w:colFirst="0" w:colLast="0"/>
            <w:bookmarkEnd w:id="0"/>
            <w:bookmarkEnd w:id="1"/>
            <w:r w:rsidRPr="00EA1C7C">
              <w:rPr>
                <w:lang w:val="ro-RO"/>
              </w:rPr>
              <w:t>c) obținerea unei dezvoltări teritoriale echilibrate a economiilor şi comunităţilor rurale, inclusiv crearea şi menținerea de locuri de muncă.</w:t>
            </w:r>
          </w:p>
        </w:tc>
      </w:tr>
      <w:tr w:rsidR="00C60302" w:rsidRPr="001D74E3" w14:paraId="2E829FC0" w14:textId="77777777" w:rsidTr="00EA1C7C">
        <w:trPr>
          <w:trHeight w:val="350"/>
          <w:jc w:val="center"/>
        </w:trPr>
        <w:tc>
          <w:tcPr>
            <w:tcW w:w="3040" w:type="dxa"/>
            <w:shd w:val="clear" w:color="auto" w:fill="auto"/>
            <w:vAlign w:val="center"/>
          </w:tcPr>
          <w:p w14:paraId="62922E92" w14:textId="77777777" w:rsidR="00C60302" w:rsidRPr="00EA1C7C"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EA1C7C">
              <w:rPr>
                <w:rFonts w:eastAsia="Trebuchet MS"/>
                <w:b/>
                <w:color w:val="000000"/>
                <w:szCs w:val="22"/>
                <w:lang w:val="ro-RO"/>
              </w:rPr>
              <w:t>Obiectiv(e) specific(e) local(e) al(e) măsurii</w:t>
            </w:r>
          </w:p>
        </w:tc>
        <w:tc>
          <w:tcPr>
            <w:tcW w:w="5853" w:type="dxa"/>
            <w:gridSpan w:val="2"/>
            <w:shd w:val="clear" w:color="auto" w:fill="auto"/>
            <w:vAlign w:val="center"/>
          </w:tcPr>
          <w:p w14:paraId="1D1173BA"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eastAsia="Trebuchet MS"/>
                <w:color w:val="000000"/>
                <w:szCs w:val="22"/>
                <w:lang w:val="ro-RO"/>
              </w:rPr>
              <w:t>Dezvoltarea durabilă a zonei</w:t>
            </w:r>
          </w:p>
          <w:p w14:paraId="4191747F"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EA1C7C">
              <w:rPr>
                <w:rFonts w:eastAsia="Trebuchet MS"/>
                <w:color w:val="000000"/>
                <w:szCs w:val="22"/>
                <w:lang w:val="ro-RO"/>
              </w:rPr>
              <w:t>Întărirea coeziunii socio-economice și a identității teritoriale</w:t>
            </w:r>
          </w:p>
          <w:p w14:paraId="042F0262"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eastAsia="Trebuchet MS"/>
                <w:color w:val="000000"/>
                <w:szCs w:val="22"/>
                <w:lang w:val="ro-RO"/>
              </w:rPr>
              <w:t>Îmbunătățirea calității vieții</w:t>
            </w:r>
          </w:p>
          <w:p w14:paraId="1A7B1FB4"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EA1C7C">
              <w:rPr>
                <w:rFonts w:eastAsia="Trebuchet MS"/>
                <w:color w:val="000000"/>
                <w:szCs w:val="22"/>
                <w:lang w:val="ro-RO"/>
              </w:rPr>
              <w:t>Creșterea atractivității și a accesibilității zonei</w:t>
            </w:r>
          </w:p>
          <w:p w14:paraId="007BF56A"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eastAsia="Trebuchet MS"/>
                <w:color w:val="000000"/>
                <w:szCs w:val="22"/>
                <w:lang w:val="ro-RO"/>
              </w:rPr>
              <w:t>Conservarea patrimoniului local</w:t>
            </w:r>
          </w:p>
        </w:tc>
      </w:tr>
      <w:tr w:rsidR="00C60302" w:rsidRPr="00C60302" w14:paraId="09FCF25C" w14:textId="77777777" w:rsidTr="00EA1C7C">
        <w:trPr>
          <w:trHeight w:val="611"/>
          <w:jc w:val="center"/>
        </w:trPr>
        <w:tc>
          <w:tcPr>
            <w:tcW w:w="3040" w:type="dxa"/>
            <w:shd w:val="clear" w:color="auto" w:fill="auto"/>
            <w:vAlign w:val="center"/>
          </w:tcPr>
          <w:p w14:paraId="64376416" w14:textId="77777777" w:rsidR="00C60302" w:rsidRPr="00EA1C7C"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EA1C7C">
              <w:rPr>
                <w:rFonts w:eastAsia="Trebuchet MS"/>
                <w:b/>
                <w:color w:val="000000"/>
                <w:szCs w:val="22"/>
                <w:lang w:val="ro-RO"/>
              </w:rPr>
              <w:t>Contribuție la prioritatea/prioritățile prevăzute la art.5, Reg.(UE) nr.1305/2013</w:t>
            </w:r>
          </w:p>
        </w:tc>
        <w:tc>
          <w:tcPr>
            <w:tcW w:w="5853" w:type="dxa"/>
            <w:gridSpan w:val="2"/>
            <w:shd w:val="clear" w:color="auto" w:fill="auto"/>
            <w:vAlign w:val="center"/>
          </w:tcPr>
          <w:p w14:paraId="3C079571" w14:textId="77777777" w:rsidR="00C60302" w:rsidRPr="00EA1C7C" w:rsidRDefault="00C60302" w:rsidP="00EA1C7C">
            <w:pPr>
              <w:pBdr>
                <w:top w:val="nil"/>
                <w:left w:val="nil"/>
                <w:bottom w:val="nil"/>
                <w:right w:val="nil"/>
                <w:between w:val="nil"/>
              </w:pBdr>
              <w:spacing w:line="276" w:lineRule="auto"/>
              <w:ind w:left="57"/>
              <w:rPr>
                <w:rFonts w:eastAsia="Trebuchet MS"/>
                <w:color w:val="000000"/>
                <w:szCs w:val="22"/>
                <w:lang w:val="ro-RO"/>
              </w:rPr>
            </w:pPr>
            <w:r w:rsidRPr="00EA1C7C">
              <w:rPr>
                <w:rFonts w:eastAsia="Trebuchet MS"/>
                <w:color w:val="000000"/>
                <w:szCs w:val="22"/>
                <w:lang w:val="ro-RO"/>
              </w:rPr>
              <w:t>P6: Promovarea incluziunii sociale, a reducerii sărăciei şi a dezvoltării economice în zonele rurale</w:t>
            </w:r>
          </w:p>
        </w:tc>
      </w:tr>
      <w:tr w:rsidR="00C60302" w:rsidRPr="001D74E3" w14:paraId="0A7353F8" w14:textId="77777777" w:rsidTr="00EA1C7C">
        <w:trPr>
          <w:trHeight w:val="440"/>
          <w:jc w:val="center"/>
        </w:trPr>
        <w:tc>
          <w:tcPr>
            <w:tcW w:w="3040" w:type="dxa"/>
            <w:shd w:val="clear" w:color="auto" w:fill="auto"/>
            <w:vAlign w:val="center"/>
          </w:tcPr>
          <w:p w14:paraId="47EA72E3" w14:textId="77777777" w:rsidR="00C60302" w:rsidRPr="001D74E3"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1D74E3">
              <w:rPr>
                <w:rFonts w:eastAsia="Trebuchet MS"/>
                <w:b/>
                <w:color w:val="000000"/>
                <w:szCs w:val="22"/>
                <w:lang w:val="ro-RO"/>
              </w:rPr>
              <w:t xml:space="preserve">Corespondență cu obiectivele unui articol din Titlul III al Reg. (UE) nr. 1305/2013 </w:t>
            </w:r>
          </w:p>
        </w:tc>
        <w:tc>
          <w:tcPr>
            <w:tcW w:w="5853" w:type="dxa"/>
            <w:gridSpan w:val="2"/>
            <w:shd w:val="clear" w:color="auto" w:fill="auto"/>
            <w:vAlign w:val="center"/>
          </w:tcPr>
          <w:p w14:paraId="0846428A" w14:textId="77777777" w:rsidR="00C60302" w:rsidRPr="001D74E3" w:rsidRDefault="00C60302" w:rsidP="00EA1C7C">
            <w:pPr>
              <w:pBdr>
                <w:top w:val="nil"/>
                <w:left w:val="nil"/>
                <w:bottom w:val="nil"/>
                <w:right w:val="nil"/>
                <w:between w:val="nil"/>
              </w:pBdr>
              <w:spacing w:line="276" w:lineRule="auto"/>
              <w:ind w:left="57"/>
              <w:rPr>
                <w:rFonts w:eastAsia="Trebuchet MS"/>
                <w:color w:val="000000"/>
                <w:szCs w:val="22"/>
                <w:lang w:val="ro-RO"/>
              </w:rPr>
            </w:pPr>
            <w:r w:rsidRPr="001D74E3">
              <w:rPr>
                <w:rFonts w:eastAsia="Trebuchet MS"/>
                <w:color w:val="000000"/>
                <w:szCs w:val="22"/>
                <w:lang w:val="ro-RO"/>
              </w:rPr>
              <w:t xml:space="preserve">Măsura corespunde obiectivelor </w:t>
            </w:r>
            <w:r w:rsidRPr="001D74E3">
              <w:rPr>
                <w:rFonts w:eastAsia="Trebuchet MS"/>
                <w:i/>
                <w:color w:val="000000"/>
                <w:szCs w:val="22"/>
                <w:lang w:val="ro-RO"/>
              </w:rPr>
              <w:t>art. 20 Servicii de bază și reînnoirea satelor în zonele rurale</w:t>
            </w:r>
            <w:r w:rsidRPr="001D74E3">
              <w:rPr>
                <w:rFonts w:eastAsia="Trebuchet MS"/>
                <w:color w:val="000000"/>
                <w:szCs w:val="22"/>
                <w:lang w:val="ro-RO"/>
              </w:rPr>
              <w:t xml:space="preserve"> din Reg. (UE) nr. 1305/2013</w:t>
            </w:r>
          </w:p>
        </w:tc>
      </w:tr>
      <w:tr w:rsidR="00C60302" w:rsidRPr="001D74E3" w14:paraId="4FC80D6B" w14:textId="77777777" w:rsidTr="00EA1C7C">
        <w:trPr>
          <w:trHeight w:val="440"/>
          <w:jc w:val="center"/>
        </w:trPr>
        <w:tc>
          <w:tcPr>
            <w:tcW w:w="3040" w:type="dxa"/>
            <w:shd w:val="clear" w:color="auto" w:fill="auto"/>
            <w:vAlign w:val="center"/>
          </w:tcPr>
          <w:p w14:paraId="05690E8A" w14:textId="77777777" w:rsidR="00C60302" w:rsidRPr="00EA1C7C"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EA1C7C">
              <w:rPr>
                <w:rFonts w:eastAsia="Trebuchet MS"/>
                <w:b/>
                <w:color w:val="000000"/>
                <w:szCs w:val="22"/>
                <w:lang w:val="ro-RO"/>
              </w:rPr>
              <w:t>Contribuția la domeniile de intervenție prevăzute la art.5, Reg.(UE) nr.1305/2013</w:t>
            </w:r>
          </w:p>
        </w:tc>
        <w:tc>
          <w:tcPr>
            <w:tcW w:w="5853" w:type="dxa"/>
            <w:gridSpan w:val="2"/>
            <w:shd w:val="clear" w:color="auto" w:fill="auto"/>
            <w:vAlign w:val="center"/>
          </w:tcPr>
          <w:p w14:paraId="2A5F7583" w14:textId="77777777" w:rsidR="00C60302" w:rsidRPr="001D74E3" w:rsidRDefault="00C60302" w:rsidP="00EA1C7C">
            <w:pPr>
              <w:spacing w:line="276" w:lineRule="auto"/>
              <w:ind w:left="57"/>
              <w:rPr>
                <w:lang w:val="ro-RO"/>
              </w:rPr>
            </w:pPr>
            <w:r w:rsidRPr="001D74E3">
              <w:rPr>
                <w:lang w:val="ro-RO"/>
              </w:rPr>
              <w:t>Măsura contribuie la domeniul de intervenție principal:</w:t>
            </w:r>
          </w:p>
          <w:p w14:paraId="2B2BF0F7" w14:textId="77777777" w:rsidR="00C60302" w:rsidRPr="001D74E3" w:rsidRDefault="00C60302" w:rsidP="00EA1C7C">
            <w:pPr>
              <w:spacing w:line="276" w:lineRule="auto"/>
              <w:ind w:left="57"/>
              <w:rPr>
                <w:lang w:val="ro-RO"/>
              </w:rPr>
            </w:pPr>
            <w:r w:rsidRPr="001D74E3">
              <w:rPr>
                <w:lang w:val="ro-RO"/>
              </w:rPr>
              <w:t>6B) Încurajarea dezvoltării locale în zonele rurale;</w:t>
            </w:r>
          </w:p>
        </w:tc>
      </w:tr>
      <w:tr w:rsidR="00C60302" w:rsidRPr="00C60302" w14:paraId="70137B31" w14:textId="77777777" w:rsidTr="00EA1C7C">
        <w:trPr>
          <w:trHeight w:val="530"/>
          <w:jc w:val="center"/>
        </w:trPr>
        <w:tc>
          <w:tcPr>
            <w:tcW w:w="3040" w:type="dxa"/>
            <w:shd w:val="clear" w:color="auto" w:fill="auto"/>
            <w:vAlign w:val="center"/>
          </w:tcPr>
          <w:p w14:paraId="48B7ABF8" w14:textId="77777777" w:rsidR="00C60302" w:rsidRPr="001D74E3"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1D74E3">
              <w:rPr>
                <w:rFonts w:ascii="Arial" w:eastAsia="Arial" w:hAnsi="Arial" w:cs="Arial"/>
                <w:b/>
                <w:color w:val="000000"/>
                <w:szCs w:val="22"/>
                <w:lang w:val="ro-RO"/>
              </w:rPr>
              <w:t>Contribuția la obiectivele transversale ale Reg.(UE) 1305/2013</w:t>
            </w:r>
          </w:p>
        </w:tc>
        <w:tc>
          <w:tcPr>
            <w:tcW w:w="5853" w:type="dxa"/>
            <w:gridSpan w:val="2"/>
            <w:shd w:val="clear" w:color="auto" w:fill="auto"/>
            <w:vAlign w:val="center"/>
          </w:tcPr>
          <w:p w14:paraId="494D2ABA" w14:textId="77777777" w:rsidR="00C60302" w:rsidRPr="001D74E3" w:rsidRDefault="00C60302" w:rsidP="00EA1C7C">
            <w:pPr>
              <w:spacing w:line="276" w:lineRule="auto"/>
              <w:ind w:left="57"/>
              <w:rPr>
                <w:b/>
                <w:lang w:val="ro-RO"/>
              </w:rPr>
            </w:pPr>
            <w:r w:rsidRPr="001D74E3">
              <w:rPr>
                <w:b/>
                <w:lang w:val="ro-RO"/>
              </w:rPr>
              <w:t>Mediu și climă</w:t>
            </w:r>
          </w:p>
          <w:p w14:paraId="306CEF0C" w14:textId="77777777" w:rsidR="00C60302" w:rsidRPr="00EA1C7C" w:rsidRDefault="00C60302" w:rsidP="00EA1C7C">
            <w:pPr>
              <w:spacing w:line="276" w:lineRule="auto"/>
              <w:ind w:left="57"/>
              <w:rPr>
                <w:lang w:val="ro-RO"/>
              </w:rPr>
            </w:pPr>
            <w:r w:rsidRPr="00EA1C7C">
              <w:rPr>
                <w:lang w:val="ro-RO"/>
              </w:rPr>
              <w:t>În vederea dezvoltării durabile a comunităților rurale, în sensul unei mai bune înțelegeri a asumării angajamentelor de mediu și a provocărilor privind schimbările climatice, investițiile legate de turism și patrimoniu natural vor încuraja practicarea unui turism responsabil care să evite degradarea zonelor naturale sensibile și, mai mult decât atât, promovarea acestora, contribuind inclusiv la promovarea biodiversității și generarea de venituri pentru locuitorii mediului rural. Totodată măsura încurajează folosirea surselor de energie regenerabilă.</w:t>
            </w:r>
          </w:p>
          <w:p w14:paraId="5E1B7227" w14:textId="77777777" w:rsidR="00C60302" w:rsidRPr="00EA1C7C" w:rsidRDefault="00C60302" w:rsidP="00EA1C7C">
            <w:pPr>
              <w:spacing w:line="276" w:lineRule="auto"/>
              <w:ind w:left="57"/>
              <w:rPr>
                <w:b/>
                <w:lang w:val="ro-RO"/>
              </w:rPr>
            </w:pPr>
            <w:r w:rsidRPr="00EA1C7C">
              <w:rPr>
                <w:b/>
                <w:lang w:val="ro-RO"/>
              </w:rPr>
              <w:t>Inovare</w:t>
            </w:r>
          </w:p>
          <w:p w14:paraId="5DF7375B" w14:textId="77777777" w:rsidR="00C60302" w:rsidRPr="00EA1C7C" w:rsidRDefault="00C60302" w:rsidP="00EA1C7C">
            <w:pPr>
              <w:spacing w:line="276" w:lineRule="auto"/>
              <w:ind w:left="57"/>
              <w:rPr>
                <w:lang w:val="ro-RO"/>
              </w:rPr>
            </w:pPr>
            <w:r w:rsidRPr="00EA1C7C">
              <w:rPr>
                <w:lang w:val="ro-RO"/>
              </w:rPr>
              <w:lastRenderedPageBreak/>
              <w:t>Sprijinul acordat pentru îmbunătățirea sau extinderea serviciilor locale de bază destinate populației rurale, investiții în infrastructura de agrement, în informarea turiștilor și în infrastructura turistică la scară mica, întreținerea, refacerea și modernizarea patrimoniului cultural și natural al satelor și susținerea investițiilor de promovarea și conservarea patrimoniului local sunt esențiale pentru dezvoltarea economică a zonelor rurale, întrucât permit afacerilor din mediul rural să se dezvolte şi încurajează spiritul antreprenorial şi inovator.</w:t>
            </w:r>
          </w:p>
        </w:tc>
      </w:tr>
      <w:tr w:rsidR="00C60302" w:rsidRPr="00C60302" w14:paraId="47EEFD39" w14:textId="77777777" w:rsidTr="00EA1C7C">
        <w:trPr>
          <w:trHeight w:val="440"/>
          <w:jc w:val="center"/>
        </w:trPr>
        <w:tc>
          <w:tcPr>
            <w:tcW w:w="3040" w:type="dxa"/>
            <w:shd w:val="clear" w:color="auto" w:fill="auto"/>
            <w:vAlign w:val="center"/>
          </w:tcPr>
          <w:p w14:paraId="3669FE8A" w14:textId="77777777" w:rsidR="00C60302" w:rsidRPr="00EA1C7C" w:rsidRDefault="00C60302" w:rsidP="00EA1C7C">
            <w:pPr>
              <w:numPr>
                <w:ilvl w:val="0"/>
                <w:numId w:val="2"/>
              </w:numPr>
              <w:pBdr>
                <w:top w:val="nil"/>
                <w:left w:val="nil"/>
                <w:bottom w:val="nil"/>
                <w:right w:val="nil"/>
                <w:between w:val="nil"/>
              </w:pBdr>
              <w:spacing w:line="276" w:lineRule="auto"/>
              <w:ind w:left="510" w:hanging="510"/>
              <w:jc w:val="left"/>
              <w:rPr>
                <w:rFonts w:eastAsia="Trebuchet MS"/>
                <w:b/>
                <w:color w:val="000000"/>
                <w:szCs w:val="22"/>
                <w:lang w:val="ro-RO"/>
              </w:rPr>
            </w:pPr>
            <w:r w:rsidRPr="00EA1C7C">
              <w:rPr>
                <w:rFonts w:eastAsia="Trebuchet MS"/>
                <w:b/>
                <w:color w:val="000000"/>
                <w:szCs w:val="22"/>
                <w:lang w:val="ro-RO"/>
              </w:rPr>
              <w:lastRenderedPageBreak/>
              <w:t>Complementaritate cu alte măsuri din SDL</w:t>
            </w:r>
          </w:p>
        </w:tc>
        <w:tc>
          <w:tcPr>
            <w:tcW w:w="5853" w:type="dxa"/>
            <w:gridSpan w:val="2"/>
            <w:shd w:val="clear" w:color="auto" w:fill="auto"/>
            <w:vAlign w:val="center"/>
          </w:tcPr>
          <w:p w14:paraId="1B56B1CD" w14:textId="77777777" w:rsidR="00C60302" w:rsidRPr="00EA1C7C" w:rsidRDefault="00C60302" w:rsidP="00EA1C7C">
            <w:pPr>
              <w:spacing w:line="276" w:lineRule="auto"/>
              <w:ind w:left="57"/>
              <w:rPr>
                <w:lang w:val="ro-RO"/>
              </w:rPr>
            </w:pPr>
            <w:r w:rsidRPr="00EA1C7C">
              <w:rPr>
                <w:lang w:val="ro-RO"/>
              </w:rPr>
              <w:t>Măsura este complementară altor măsuri prin faptul că beneficiarii direcți/indirecți vizați prin aceasta sunt incluși în categoriile de beneficiari direcți/indirecți (grupurile țintă) ai următoarelor măsuri din SDL:</w:t>
            </w:r>
          </w:p>
          <w:p w14:paraId="67EFCBC1" w14:textId="77777777" w:rsidR="00C60302" w:rsidRPr="00EA1C7C" w:rsidRDefault="00C60302" w:rsidP="00EA1C7C">
            <w:pPr>
              <w:numPr>
                <w:ilvl w:val="0"/>
                <w:numId w:val="6"/>
              </w:numPr>
              <w:pBdr>
                <w:top w:val="nil"/>
                <w:left w:val="nil"/>
                <w:bottom w:val="nil"/>
                <w:right w:val="nil"/>
                <w:between w:val="nil"/>
              </w:pBdr>
              <w:spacing w:line="276" w:lineRule="auto"/>
              <w:jc w:val="left"/>
              <w:rPr>
                <w:rFonts w:eastAsia="Trebuchet MS"/>
                <w:color w:val="000000"/>
                <w:szCs w:val="22"/>
                <w:lang w:val="ro-RO"/>
              </w:rPr>
            </w:pPr>
            <w:r w:rsidRPr="00EA1C7C">
              <w:rPr>
                <w:rFonts w:eastAsia="Trebuchet MS"/>
                <w:color w:val="000000"/>
                <w:szCs w:val="22"/>
                <w:lang w:val="ro-RO"/>
              </w:rPr>
              <w:t>M2/6B - Valorificarea patrimoniului local și consolidarea identității locale</w:t>
            </w:r>
          </w:p>
          <w:p w14:paraId="7568937C" w14:textId="77777777" w:rsidR="00C60302" w:rsidRPr="00EA1C7C" w:rsidRDefault="00C60302" w:rsidP="00EA1C7C">
            <w:pPr>
              <w:numPr>
                <w:ilvl w:val="0"/>
                <w:numId w:val="6"/>
              </w:numPr>
              <w:pBdr>
                <w:top w:val="nil"/>
                <w:left w:val="nil"/>
                <w:bottom w:val="nil"/>
                <w:right w:val="nil"/>
                <w:between w:val="nil"/>
              </w:pBdr>
              <w:spacing w:line="276" w:lineRule="auto"/>
              <w:jc w:val="left"/>
              <w:rPr>
                <w:rFonts w:eastAsia="Trebuchet MS"/>
                <w:color w:val="000000"/>
                <w:szCs w:val="22"/>
                <w:lang w:val="ro-RO"/>
              </w:rPr>
            </w:pPr>
            <w:r w:rsidRPr="00EA1C7C">
              <w:rPr>
                <w:rFonts w:eastAsia="Trebuchet MS"/>
                <w:color w:val="000000"/>
                <w:szCs w:val="22"/>
                <w:lang w:val="ro-RO"/>
              </w:rPr>
              <w:t>M3/6B – Dezvoltarea infrastructurii sociale</w:t>
            </w:r>
          </w:p>
        </w:tc>
      </w:tr>
      <w:tr w:rsidR="00C60302" w:rsidRPr="00C60302" w14:paraId="302E744B" w14:textId="77777777" w:rsidTr="00EA1C7C">
        <w:trPr>
          <w:trHeight w:val="971"/>
          <w:jc w:val="center"/>
        </w:trPr>
        <w:tc>
          <w:tcPr>
            <w:tcW w:w="3040" w:type="dxa"/>
            <w:shd w:val="clear" w:color="auto" w:fill="auto"/>
            <w:vAlign w:val="center"/>
          </w:tcPr>
          <w:p w14:paraId="3675533E" w14:textId="77777777" w:rsidR="00C60302" w:rsidRPr="00EA1C7C" w:rsidRDefault="00C60302" w:rsidP="00EA1C7C">
            <w:pPr>
              <w:numPr>
                <w:ilvl w:val="0"/>
                <w:numId w:val="2"/>
              </w:numPr>
              <w:pBdr>
                <w:top w:val="nil"/>
                <w:left w:val="nil"/>
                <w:bottom w:val="nil"/>
                <w:right w:val="nil"/>
                <w:between w:val="nil"/>
              </w:pBdr>
              <w:spacing w:line="276" w:lineRule="auto"/>
              <w:ind w:left="624" w:hanging="624"/>
              <w:jc w:val="left"/>
              <w:rPr>
                <w:rFonts w:eastAsia="Trebuchet MS"/>
                <w:b/>
                <w:color w:val="000000"/>
                <w:szCs w:val="22"/>
                <w:lang w:val="ro-RO"/>
              </w:rPr>
            </w:pPr>
            <w:r w:rsidRPr="00EA1C7C">
              <w:rPr>
                <w:rFonts w:eastAsia="Trebuchet MS"/>
                <w:b/>
                <w:color w:val="000000"/>
                <w:szCs w:val="22"/>
                <w:lang w:val="ro-RO"/>
              </w:rPr>
              <w:t>Sinergia cu alte măsuri din SDL</w:t>
            </w:r>
          </w:p>
        </w:tc>
        <w:tc>
          <w:tcPr>
            <w:tcW w:w="5853" w:type="dxa"/>
            <w:gridSpan w:val="2"/>
            <w:shd w:val="clear" w:color="auto" w:fill="auto"/>
            <w:vAlign w:val="center"/>
          </w:tcPr>
          <w:p w14:paraId="4E073BB4" w14:textId="77777777" w:rsidR="00C60302" w:rsidRPr="00EA1C7C" w:rsidRDefault="00C60302" w:rsidP="00EA1C7C">
            <w:pPr>
              <w:spacing w:line="276" w:lineRule="auto"/>
              <w:ind w:left="57"/>
              <w:rPr>
                <w:lang w:val="ro-RO"/>
              </w:rPr>
            </w:pPr>
            <w:r w:rsidRPr="00EA1C7C">
              <w:rPr>
                <w:lang w:val="ro-RO"/>
              </w:rPr>
              <w:t xml:space="preserve">Măsura creează sinergie cu următoarele măsuri din SDL, prin contribuția fiecăreia la realizarea priorității </w:t>
            </w:r>
            <w:r w:rsidRPr="00EA1C7C">
              <w:rPr>
                <w:b/>
                <w:lang w:val="ro-RO"/>
              </w:rPr>
              <w:t>P6</w:t>
            </w:r>
            <w:r w:rsidRPr="00EA1C7C">
              <w:rPr>
                <w:lang w:val="ro-RO"/>
              </w:rPr>
              <w:t>:</w:t>
            </w:r>
          </w:p>
          <w:p w14:paraId="068A3B7D" w14:textId="77777777" w:rsidR="00C60302" w:rsidRPr="001D74E3" w:rsidRDefault="00C60302" w:rsidP="00EA1C7C">
            <w:pPr>
              <w:numPr>
                <w:ilvl w:val="0"/>
                <w:numId w:val="6"/>
              </w:numPr>
              <w:pBdr>
                <w:top w:val="nil"/>
                <w:left w:val="nil"/>
                <w:bottom w:val="nil"/>
                <w:right w:val="nil"/>
                <w:between w:val="nil"/>
              </w:pBdr>
              <w:spacing w:line="276" w:lineRule="auto"/>
              <w:jc w:val="left"/>
              <w:rPr>
                <w:rFonts w:eastAsia="Trebuchet MS"/>
                <w:color w:val="000000"/>
                <w:szCs w:val="22"/>
                <w:lang w:val="ro-RO"/>
              </w:rPr>
            </w:pPr>
            <w:r w:rsidRPr="001D74E3">
              <w:rPr>
                <w:rFonts w:eastAsia="Trebuchet MS"/>
                <w:color w:val="000000"/>
                <w:szCs w:val="22"/>
                <w:lang w:val="ro-RO"/>
              </w:rPr>
              <w:t>M2/6B - Valorificarea patrimoniului local si consolidarea identității locale</w:t>
            </w:r>
          </w:p>
          <w:p w14:paraId="0018EEC0" w14:textId="77777777" w:rsidR="00C60302" w:rsidRPr="001D74E3" w:rsidRDefault="00C60302" w:rsidP="00EA1C7C">
            <w:pPr>
              <w:numPr>
                <w:ilvl w:val="0"/>
                <w:numId w:val="6"/>
              </w:numPr>
              <w:pBdr>
                <w:top w:val="nil"/>
                <w:left w:val="nil"/>
                <w:bottom w:val="nil"/>
                <w:right w:val="nil"/>
                <w:between w:val="nil"/>
              </w:pBdr>
              <w:spacing w:line="276" w:lineRule="auto"/>
              <w:jc w:val="left"/>
              <w:rPr>
                <w:rFonts w:eastAsia="Trebuchet MS"/>
                <w:color w:val="000000"/>
                <w:szCs w:val="22"/>
                <w:lang w:val="ro-RO"/>
              </w:rPr>
            </w:pPr>
            <w:r w:rsidRPr="001D74E3">
              <w:rPr>
                <w:rFonts w:eastAsia="Trebuchet MS"/>
                <w:color w:val="000000"/>
                <w:szCs w:val="22"/>
                <w:lang w:val="ro-RO"/>
              </w:rPr>
              <w:t>M4/6A - Înfiinţarea activităţilor neagricole</w:t>
            </w:r>
          </w:p>
          <w:p w14:paraId="578BE20A" w14:textId="77777777" w:rsidR="00C60302" w:rsidRPr="001D74E3" w:rsidRDefault="00C60302" w:rsidP="00EA1C7C">
            <w:pPr>
              <w:numPr>
                <w:ilvl w:val="0"/>
                <w:numId w:val="6"/>
              </w:numPr>
              <w:pBdr>
                <w:top w:val="nil"/>
                <w:left w:val="nil"/>
                <w:bottom w:val="nil"/>
                <w:right w:val="nil"/>
                <w:between w:val="nil"/>
              </w:pBdr>
              <w:spacing w:line="276" w:lineRule="auto"/>
              <w:jc w:val="left"/>
              <w:rPr>
                <w:rFonts w:eastAsia="Trebuchet MS"/>
                <w:color w:val="000000"/>
                <w:szCs w:val="22"/>
                <w:lang w:val="ro-RO"/>
              </w:rPr>
            </w:pPr>
            <w:r w:rsidRPr="001D74E3">
              <w:rPr>
                <w:rFonts w:eastAsia="Trebuchet MS"/>
                <w:color w:val="000000"/>
                <w:szCs w:val="22"/>
                <w:lang w:val="ro-RO"/>
              </w:rPr>
              <w:t>M5/6A - Dezvoltarea activităţilor neagricole</w:t>
            </w:r>
          </w:p>
          <w:p w14:paraId="2C6B6C82" w14:textId="77777777" w:rsidR="00C60302" w:rsidRPr="00EA1C7C" w:rsidRDefault="00C60302" w:rsidP="00EA1C7C">
            <w:pPr>
              <w:numPr>
                <w:ilvl w:val="0"/>
                <w:numId w:val="6"/>
              </w:numPr>
              <w:pBdr>
                <w:top w:val="nil"/>
                <w:left w:val="nil"/>
                <w:bottom w:val="nil"/>
                <w:right w:val="nil"/>
                <w:between w:val="nil"/>
              </w:pBdr>
              <w:spacing w:line="276" w:lineRule="auto"/>
              <w:jc w:val="left"/>
              <w:rPr>
                <w:rFonts w:eastAsia="Trebuchet MS"/>
                <w:color w:val="000000"/>
                <w:szCs w:val="22"/>
                <w:lang w:val="ro-RO"/>
              </w:rPr>
            </w:pPr>
            <w:r w:rsidRPr="00EA1C7C">
              <w:rPr>
                <w:rFonts w:eastAsia="Trebuchet MS"/>
                <w:color w:val="000000"/>
                <w:szCs w:val="22"/>
                <w:lang w:val="ro-RO"/>
              </w:rPr>
              <w:t>M3/6B – Dezvoltarea infrastructurii sociale</w:t>
            </w:r>
          </w:p>
        </w:tc>
      </w:tr>
      <w:tr w:rsidR="00C60302" w:rsidRPr="001D74E3" w14:paraId="328E2A35" w14:textId="77777777" w:rsidTr="00EA1C7C">
        <w:trPr>
          <w:trHeight w:val="149"/>
          <w:jc w:val="center"/>
        </w:trPr>
        <w:tc>
          <w:tcPr>
            <w:tcW w:w="8893" w:type="dxa"/>
            <w:gridSpan w:val="3"/>
            <w:shd w:val="clear" w:color="auto" w:fill="auto"/>
            <w:vAlign w:val="center"/>
          </w:tcPr>
          <w:p w14:paraId="01303C83" w14:textId="77777777" w:rsidR="00C60302" w:rsidRPr="001D74E3"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1D74E3">
              <w:rPr>
                <w:rFonts w:eastAsia="Trebuchet MS"/>
                <w:b/>
                <w:color w:val="000000"/>
                <w:szCs w:val="22"/>
                <w:lang w:val="ro-RO"/>
              </w:rPr>
              <w:t>Valoarea adăugată a măsurii</w:t>
            </w:r>
          </w:p>
        </w:tc>
      </w:tr>
      <w:tr w:rsidR="00C60302" w:rsidRPr="00C60302" w14:paraId="7DE39DD1" w14:textId="77777777" w:rsidTr="00EA1C7C">
        <w:trPr>
          <w:trHeight w:val="260"/>
          <w:jc w:val="center"/>
        </w:trPr>
        <w:tc>
          <w:tcPr>
            <w:tcW w:w="8893" w:type="dxa"/>
            <w:gridSpan w:val="3"/>
            <w:shd w:val="clear" w:color="auto" w:fill="auto"/>
            <w:vAlign w:val="center"/>
          </w:tcPr>
          <w:p w14:paraId="12F60B13"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EA1C7C">
              <w:rPr>
                <w:rFonts w:eastAsia="Trebuchet MS"/>
                <w:color w:val="000000"/>
                <w:szCs w:val="22"/>
                <w:lang w:val="ro-RO"/>
              </w:rPr>
              <w:t>Măsura contribuie la dezvoltarea sustenabilă al identității locale prin prioritizarea investițiilor în conservarea patrimoniului local.</w:t>
            </w:r>
          </w:p>
          <w:p w14:paraId="04139263"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EA1C7C">
              <w:rPr>
                <w:rFonts w:eastAsia="Trebuchet MS"/>
                <w:color w:val="000000"/>
                <w:szCs w:val="22"/>
                <w:lang w:val="ro-RO"/>
              </w:rPr>
              <w:t>Măsura contribuie la dezvoltarea turismului, prin prioritizarea proiectelor care vizează informarea turiștilor și investiții în infrastructura turistică la scară mică.</w:t>
            </w:r>
          </w:p>
        </w:tc>
      </w:tr>
      <w:tr w:rsidR="00C60302" w:rsidRPr="001D74E3" w14:paraId="10C50792" w14:textId="77777777" w:rsidTr="00EA1C7C">
        <w:trPr>
          <w:trHeight w:val="364"/>
          <w:jc w:val="center"/>
        </w:trPr>
        <w:tc>
          <w:tcPr>
            <w:tcW w:w="8893" w:type="dxa"/>
            <w:gridSpan w:val="3"/>
            <w:shd w:val="clear" w:color="auto" w:fill="auto"/>
            <w:vAlign w:val="center"/>
          </w:tcPr>
          <w:p w14:paraId="202A45D0" w14:textId="77777777" w:rsidR="00C60302" w:rsidRPr="001D74E3" w:rsidRDefault="00C60302" w:rsidP="00EA1C7C">
            <w:pPr>
              <w:numPr>
                <w:ilvl w:val="0"/>
                <w:numId w:val="3"/>
              </w:numPr>
              <w:pBdr>
                <w:top w:val="nil"/>
                <w:left w:val="nil"/>
                <w:bottom w:val="nil"/>
                <w:right w:val="nil"/>
                <w:between w:val="nil"/>
              </w:pBdr>
              <w:spacing w:line="276" w:lineRule="auto"/>
              <w:ind w:left="357" w:hanging="357"/>
              <w:rPr>
                <w:rFonts w:eastAsia="Trebuchet MS"/>
                <w:b/>
                <w:color w:val="000000"/>
                <w:szCs w:val="22"/>
                <w:lang w:val="ro-RO"/>
              </w:rPr>
            </w:pPr>
            <w:r w:rsidRPr="001D74E3">
              <w:rPr>
                <w:rFonts w:eastAsia="Trebuchet MS"/>
                <w:b/>
                <w:color w:val="000000"/>
                <w:szCs w:val="22"/>
                <w:lang w:val="ro-RO"/>
              </w:rPr>
              <w:t>Trimiteri la alte acte legislative</w:t>
            </w:r>
          </w:p>
        </w:tc>
      </w:tr>
      <w:tr w:rsidR="00C60302" w:rsidRPr="001D74E3" w14:paraId="71804864" w14:textId="77777777" w:rsidTr="00EA1C7C">
        <w:trPr>
          <w:trHeight w:val="511"/>
          <w:jc w:val="center"/>
        </w:trPr>
        <w:tc>
          <w:tcPr>
            <w:tcW w:w="8893" w:type="dxa"/>
            <w:gridSpan w:val="3"/>
            <w:shd w:val="clear" w:color="auto" w:fill="auto"/>
            <w:vAlign w:val="center"/>
          </w:tcPr>
          <w:p w14:paraId="71C018B2" w14:textId="77777777" w:rsidR="00C60302" w:rsidRPr="001D74E3" w:rsidRDefault="00C60302" w:rsidP="00EA1C7C">
            <w:pPr>
              <w:pBdr>
                <w:top w:val="nil"/>
                <w:left w:val="nil"/>
                <w:bottom w:val="nil"/>
                <w:right w:val="nil"/>
                <w:between w:val="nil"/>
              </w:pBdr>
              <w:spacing w:line="276" w:lineRule="auto"/>
              <w:rPr>
                <w:rFonts w:eastAsia="Trebuchet MS"/>
                <w:color w:val="000000"/>
                <w:szCs w:val="22"/>
                <w:lang w:val="ro-RO"/>
              </w:rPr>
            </w:pPr>
            <w:r w:rsidRPr="001D74E3">
              <w:rPr>
                <w:rFonts w:eastAsia="Trebuchet MS"/>
                <w:color w:val="000000"/>
                <w:szCs w:val="22"/>
                <w:lang w:val="ro-RO"/>
              </w:rPr>
              <w:t>Directiva 2000/60/CE a Parlamentului European şi a Consiliului din 23 octombrie 2000: Reg. (UE) nr.1407/2013 privind aplicarea art.107 și 108 din Tratatul privind  funcționarea; Uniunii Europene referitor la ajutoarele de minimis; Reg.(UE)1303/2013, Reg.(UE) 1305/2013, Reg.(UE)nr.807/2014, Reg. de implementare (UE)808/2014; R (UE) nr.480/2014 de completare a R (UE) nr.1303/2013; L. nr.215/2001 a administrației publice locale – republicată, cu modificările și completările ulterioare; L. nr.422/2001 privind protejarea monumentelor istorice, cu modificările și completările ulterioare; L. nr.489/2006 privind libertatea religiei și regimul general al cultelor – republicată, cu modificările și completările ulterioare; HG nr.26/2000 cu privire la asociații și fundații, cu modificările și completările ulterioare; OUG. nrr.34/2006; HG nr.925/2006; OG.nr.8 din 23 ianuarie 2013 pentru modificarea şi completarea L. nr.571/2003 privind Codul fiscal şi reglementarea unor măsuri financiar-fiscale; Alte acte normative aplicabile în domeniul fiscal; OUG nr.195/2005 din 22 decembrie 2005 privind protecţia mediului; L. nr.265/2006 pentru aprobarea OUG. nr.195/2005 privind protecţia mediului</w:t>
            </w:r>
          </w:p>
        </w:tc>
      </w:tr>
      <w:tr w:rsidR="00C60302" w:rsidRPr="00C60302" w14:paraId="253B56AD" w14:textId="77777777" w:rsidTr="00EA1C7C">
        <w:trPr>
          <w:trHeight w:val="70"/>
          <w:jc w:val="center"/>
        </w:trPr>
        <w:tc>
          <w:tcPr>
            <w:tcW w:w="8893" w:type="dxa"/>
            <w:gridSpan w:val="3"/>
            <w:shd w:val="clear" w:color="auto" w:fill="auto"/>
            <w:vAlign w:val="center"/>
          </w:tcPr>
          <w:p w14:paraId="61661B8A" w14:textId="77777777" w:rsidR="00C60302" w:rsidRPr="00EA1C7C"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EA1C7C">
              <w:rPr>
                <w:rFonts w:eastAsia="Trebuchet MS"/>
                <w:b/>
                <w:color w:val="000000"/>
                <w:szCs w:val="22"/>
                <w:lang w:val="ro-RO"/>
              </w:rPr>
              <w:t>Beneficiari direcți/indirecți (grup țintă)</w:t>
            </w:r>
          </w:p>
        </w:tc>
      </w:tr>
      <w:tr w:rsidR="00C60302" w:rsidRPr="001D74E3" w14:paraId="6F8A2A60" w14:textId="77777777" w:rsidTr="00EA1C7C">
        <w:trPr>
          <w:trHeight w:val="962"/>
          <w:jc w:val="center"/>
        </w:trPr>
        <w:tc>
          <w:tcPr>
            <w:tcW w:w="3040" w:type="dxa"/>
            <w:shd w:val="clear" w:color="auto" w:fill="auto"/>
            <w:vAlign w:val="center"/>
          </w:tcPr>
          <w:p w14:paraId="7078E0A5" w14:textId="77777777" w:rsidR="00C60302" w:rsidRPr="001D74E3" w:rsidRDefault="00C60302" w:rsidP="00EA1C7C">
            <w:pPr>
              <w:numPr>
                <w:ilvl w:val="0"/>
                <w:numId w:val="7"/>
              </w:numPr>
              <w:pBdr>
                <w:top w:val="nil"/>
                <w:left w:val="nil"/>
                <w:bottom w:val="nil"/>
                <w:right w:val="nil"/>
                <w:between w:val="nil"/>
              </w:pBdr>
              <w:spacing w:line="276" w:lineRule="auto"/>
              <w:ind w:left="510" w:hanging="510"/>
              <w:jc w:val="left"/>
              <w:rPr>
                <w:rFonts w:eastAsia="Trebuchet MS"/>
                <w:b/>
                <w:color w:val="000000"/>
                <w:szCs w:val="22"/>
                <w:lang w:val="ro-RO"/>
              </w:rPr>
            </w:pPr>
            <w:r w:rsidRPr="001D74E3">
              <w:rPr>
                <w:rFonts w:ascii="Arial" w:eastAsia="Arial" w:hAnsi="Arial" w:cs="Arial"/>
                <w:b/>
                <w:color w:val="000000"/>
                <w:szCs w:val="22"/>
                <w:lang w:val="ro-RO"/>
              </w:rPr>
              <w:lastRenderedPageBreak/>
              <w:t>Beneficiari direcți</w:t>
            </w:r>
          </w:p>
        </w:tc>
        <w:tc>
          <w:tcPr>
            <w:tcW w:w="5853" w:type="dxa"/>
            <w:gridSpan w:val="2"/>
            <w:shd w:val="clear" w:color="auto" w:fill="auto"/>
            <w:vAlign w:val="center"/>
          </w:tcPr>
          <w:p w14:paraId="684F03D0"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eastAsia="Trebuchet MS"/>
                <w:color w:val="000000"/>
                <w:szCs w:val="22"/>
                <w:lang w:val="ro-RO"/>
              </w:rPr>
              <w:t>Autorități publice locale sau asociațiile acestora (ADI-uri)</w:t>
            </w:r>
          </w:p>
          <w:p w14:paraId="3A5235BA"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ascii="Arial" w:eastAsia="Arial" w:hAnsi="Arial" w:cs="Arial"/>
                <w:color w:val="000000"/>
                <w:szCs w:val="22"/>
                <w:lang w:val="ro-RO"/>
              </w:rPr>
              <w:t>Instituții de cult</w:t>
            </w:r>
          </w:p>
          <w:p w14:paraId="7EE40160"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eastAsia="Trebuchet MS"/>
                <w:color w:val="000000"/>
                <w:szCs w:val="22"/>
                <w:lang w:val="ro-RO"/>
              </w:rPr>
              <w:t>Instituții de învățământ locale</w:t>
            </w:r>
          </w:p>
          <w:p w14:paraId="0C15B3CB"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ascii="Arial" w:eastAsia="Arial" w:hAnsi="Arial" w:cs="Arial"/>
                <w:color w:val="000000"/>
                <w:szCs w:val="22"/>
                <w:lang w:val="ro-RO"/>
              </w:rPr>
              <w:t>ONG înființate în baza legii 26/2000</w:t>
            </w:r>
          </w:p>
          <w:p w14:paraId="379F2639"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eastAsia="Trebuchet MS"/>
                <w:color w:val="000000"/>
                <w:szCs w:val="22"/>
                <w:lang w:val="ro-RO"/>
              </w:rPr>
              <w:t>Cooperative</w:t>
            </w:r>
          </w:p>
        </w:tc>
      </w:tr>
      <w:tr w:rsidR="00C60302" w:rsidRPr="001D74E3" w14:paraId="1DC89DAB" w14:textId="77777777" w:rsidTr="00EA1C7C">
        <w:trPr>
          <w:trHeight w:val="440"/>
          <w:jc w:val="center"/>
        </w:trPr>
        <w:tc>
          <w:tcPr>
            <w:tcW w:w="3040" w:type="dxa"/>
            <w:shd w:val="clear" w:color="auto" w:fill="auto"/>
            <w:vAlign w:val="center"/>
          </w:tcPr>
          <w:p w14:paraId="2288A4A1" w14:textId="77777777" w:rsidR="00C60302" w:rsidRPr="001D74E3" w:rsidRDefault="00C60302" w:rsidP="00EA1C7C">
            <w:pPr>
              <w:numPr>
                <w:ilvl w:val="0"/>
                <w:numId w:val="7"/>
              </w:numPr>
              <w:pBdr>
                <w:top w:val="nil"/>
                <w:left w:val="nil"/>
                <w:bottom w:val="nil"/>
                <w:right w:val="nil"/>
                <w:between w:val="nil"/>
              </w:pBdr>
              <w:spacing w:line="276" w:lineRule="auto"/>
              <w:ind w:left="510" w:hanging="510"/>
              <w:jc w:val="left"/>
              <w:rPr>
                <w:rFonts w:eastAsia="Trebuchet MS"/>
                <w:b/>
                <w:color w:val="000000"/>
                <w:szCs w:val="22"/>
                <w:lang w:val="ro-RO"/>
              </w:rPr>
            </w:pPr>
            <w:r w:rsidRPr="001D74E3">
              <w:rPr>
                <w:rFonts w:ascii="Arial" w:eastAsia="Arial" w:hAnsi="Arial" w:cs="Arial"/>
                <w:b/>
                <w:color w:val="000000"/>
                <w:szCs w:val="22"/>
                <w:lang w:val="ro-RO"/>
              </w:rPr>
              <w:t>Beneficiarii indirecți</w:t>
            </w:r>
          </w:p>
        </w:tc>
        <w:tc>
          <w:tcPr>
            <w:tcW w:w="5853" w:type="dxa"/>
            <w:gridSpan w:val="2"/>
            <w:shd w:val="clear" w:color="auto" w:fill="auto"/>
            <w:vAlign w:val="center"/>
          </w:tcPr>
          <w:p w14:paraId="6F2082C9"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ascii="Arial" w:eastAsia="Arial" w:hAnsi="Arial" w:cs="Arial"/>
                <w:color w:val="000000"/>
                <w:szCs w:val="22"/>
                <w:lang w:val="ro-RO"/>
              </w:rPr>
              <w:t>Populația din teritoriu</w:t>
            </w:r>
          </w:p>
          <w:p w14:paraId="4D46521A"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1D74E3">
              <w:rPr>
                <w:rFonts w:eastAsia="Trebuchet MS"/>
                <w:color w:val="000000"/>
                <w:szCs w:val="22"/>
                <w:lang w:val="ro-RO"/>
              </w:rPr>
              <w:t>Mediul privat din zonă (IMM-uri)</w:t>
            </w:r>
          </w:p>
        </w:tc>
      </w:tr>
      <w:tr w:rsidR="00C60302" w:rsidRPr="001D74E3" w14:paraId="4AEABE73" w14:textId="77777777" w:rsidTr="00EA1C7C">
        <w:trPr>
          <w:trHeight w:val="288"/>
          <w:jc w:val="center"/>
        </w:trPr>
        <w:tc>
          <w:tcPr>
            <w:tcW w:w="8893" w:type="dxa"/>
            <w:gridSpan w:val="3"/>
            <w:shd w:val="clear" w:color="auto" w:fill="auto"/>
            <w:vAlign w:val="center"/>
          </w:tcPr>
          <w:p w14:paraId="34556404" w14:textId="77777777" w:rsidR="00C60302" w:rsidRPr="001D74E3"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1D74E3">
              <w:rPr>
                <w:rFonts w:eastAsia="Trebuchet MS"/>
                <w:b/>
                <w:color w:val="000000"/>
                <w:szCs w:val="22"/>
                <w:lang w:val="ro-RO"/>
              </w:rPr>
              <w:t>Tip de sprijin (conform art. 67 din Reg. (UE) nr.1303/2013)</w:t>
            </w:r>
          </w:p>
        </w:tc>
      </w:tr>
      <w:tr w:rsidR="00C60302" w:rsidRPr="00C60302" w14:paraId="7A19C023" w14:textId="77777777" w:rsidTr="00EA1C7C">
        <w:trPr>
          <w:trHeight w:val="1237"/>
          <w:jc w:val="center"/>
        </w:trPr>
        <w:tc>
          <w:tcPr>
            <w:tcW w:w="8893" w:type="dxa"/>
            <w:gridSpan w:val="3"/>
            <w:shd w:val="clear" w:color="auto" w:fill="auto"/>
            <w:vAlign w:val="center"/>
          </w:tcPr>
          <w:p w14:paraId="2A99292E"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EA1C7C">
              <w:rPr>
                <w:rFonts w:eastAsia="Trebuchet MS"/>
                <w:color w:val="000000"/>
                <w:szCs w:val="22"/>
                <w:lang w:val="ro-RO"/>
              </w:rPr>
              <w:t>Rambursarea costurilor eligibile suportate şi plătite efectiv de solicitant</w:t>
            </w:r>
          </w:p>
          <w:p w14:paraId="50CD96A9"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color w:val="000000"/>
                <w:szCs w:val="22"/>
                <w:lang w:val="ro-RO"/>
              </w:rPr>
            </w:pPr>
            <w:r w:rsidRPr="00EA1C7C">
              <w:rPr>
                <w:rFonts w:eastAsia="Trebuchet MS"/>
                <w:color w:val="000000"/>
                <w:szCs w:val="22"/>
                <w:lang w:val="ro-RO"/>
              </w:rPr>
              <w:t>Plăţi în avans, cu condiţia constituirii unei garanții echivalente corespunzătoare procentului de 100% din valoarea avansului, în conformitate cu art.45(4) şi art.63 ale Reg.(UE) nr. 1305/2013</w:t>
            </w:r>
          </w:p>
        </w:tc>
      </w:tr>
      <w:tr w:rsidR="00C60302" w:rsidRPr="00C60302" w14:paraId="43E8B28E" w14:textId="77777777" w:rsidTr="00EA1C7C">
        <w:trPr>
          <w:trHeight w:val="200"/>
          <w:jc w:val="center"/>
        </w:trPr>
        <w:tc>
          <w:tcPr>
            <w:tcW w:w="8893" w:type="dxa"/>
            <w:gridSpan w:val="3"/>
            <w:shd w:val="clear" w:color="auto" w:fill="auto"/>
            <w:vAlign w:val="center"/>
          </w:tcPr>
          <w:p w14:paraId="48ECEA63" w14:textId="77777777" w:rsidR="00C60302" w:rsidRPr="00EA1C7C" w:rsidRDefault="00C60302" w:rsidP="00EA1C7C">
            <w:pPr>
              <w:numPr>
                <w:ilvl w:val="0"/>
                <w:numId w:val="3"/>
              </w:numPr>
              <w:pBdr>
                <w:top w:val="nil"/>
                <w:left w:val="nil"/>
                <w:bottom w:val="nil"/>
                <w:right w:val="nil"/>
                <w:between w:val="nil"/>
              </w:pBdr>
              <w:tabs>
                <w:tab w:val="left" w:pos="360"/>
              </w:tabs>
              <w:spacing w:line="276" w:lineRule="auto"/>
              <w:ind w:left="0" w:firstLine="0"/>
              <w:rPr>
                <w:rFonts w:eastAsia="Trebuchet MS"/>
                <w:color w:val="000000"/>
                <w:szCs w:val="22"/>
                <w:lang w:val="ro-RO"/>
              </w:rPr>
            </w:pPr>
            <w:r w:rsidRPr="00EA1C7C">
              <w:rPr>
                <w:rFonts w:ascii="Arial" w:eastAsia="Arial" w:hAnsi="Arial" w:cs="Arial"/>
                <w:b/>
                <w:color w:val="000000"/>
                <w:szCs w:val="22"/>
                <w:lang w:val="ro-RO"/>
              </w:rPr>
              <w:t>Tipuri de acțiuni eligibile și neeligibile</w:t>
            </w:r>
          </w:p>
        </w:tc>
      </w:tr>
      <w:tr w:rsidR="00C60302" w:rsidRPr="001D74E3" w14:paraId="703F6085" w14:textId="77777777" w:rsidTr="00EA1C7C">
        <w:trPr>
          <w:trHeight w:val="332"/>
          <w:jc w:val="center"/>
        </w:trPr>
        <w:tc>
          <w:tcPr>
            <w:tcW w:w="8893" w:type="dxa"/>
            <w:gridSpan w:val="3"/>
            <w:shd w:val="clear" w:color="auto" w:fill="auto"/>
            <w:vAlign w:val="center"/>
          </w:tcPr>
          <w:p w14:paraId="5116BC37" w14:textId="77777777" w:rsidR="00C60302" w:rsidRPr="001D74E3" w:rsidRDefault="00C60302" w:rsidP="00EA1C7C">
            <w:pPr>
              <w:numPr>
                <w:ilvl w:val="0"/>
                <w:numId w:val="8"/>
              </w:numPr>
              <w:pBdr>
                <w:top w:val="nil"/>
                <w:left w:val="nil"/>
                <w:bottom w:val="nil"/>
                <w:right w:val="nil"/>
                <w:between w:val="nil"/>
              </w:pBdr>
              <w:spacing w:line="276" w:lineRule="auto"/>
              <w:ind w:left="510" w:hanging="510"/>
              <w:rPr>
                <w:rFonts w:eastAsia="Trebuchet MS"/>
                <w:color w:val="000000"/>
                <w:szCs w:val="22"/>
                <w:lang w:val="ro-RO"/>
              </w:rPr>
            </w:pPr>
            <w:r w:rsidRPr="001D74E3">
              <w:rPr>
                <w:rFonts w:ascii="Arial" w:eastAsia="Arial" w:hAnsi="Arial" w:cs="Arial"/>
                <w:b/>
                <w:color w:val="000000"/>
                <w:szCs w:val="22"/>
                <w:lang w:val="ro-RO"/>
              </w:rPr>
              <w:t xml:space="preserve">Tipuri de acțiuni eligibile </w:t>
            </w:r>
          </w:p>
        </w:tc>
      </w:tr>
      <w:tr w:rsidR="00C60302" w:rsidRPr="00C60302" w14:paraId="42C53325" w14:textId="77777777" w:rsidTr="00EA1C7C">
        <w:trPr>
          <w:trHeight w:val="458"/>
          <w:jc w:val="center"/>
        </w:trPr>
        <w:tc>
          <w:tcPr>
            <w:tcW w:w="8893" w:type="dxa"/>
            <w:gridSpan w:val="3"/>
            <w:shd w:val="clear" w:color="auto" w:fill="auto"/>
            <w:vAlign w:val="center"/>
          </w:tcPr>
          <w:p w14:paraId="4A66C6A7"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b/>
                <w:color w:val="000000"/>
                <w:szCs w:val="22"/>
                <w:lang w:val="ro-RO"/>
              </w:rPr>
            </w:pPr>
            <w:r w:rsidRPr="001D74E3">
              <w:rPr>
                <w:rFonts w:eastAsia="Trebuchet MS"/>
                <w:b/>
                <w:color w:val="000000"/>
                <w:szCs w:val="22"/>
                <w:lang w:val="ro-RO"/>
              </w:rPr>
              <w:t>Studii și investiții asociate cu întreținerea, refacerea și modernizarea patrimoniului cultural (imobil, mobil și imaterial) și natural al satelor, al peisajelor rurale și al siturilor de înaltă valoare naturală, inclusiv cu aspectele socioeconomice conexe, precum și acțiuni de sensibilizare ecologică:</w:t>
            </w:r>
          </w:p>
          <w:p w14:paraId="63DFC3B7" w14:textId="77777777" w:rsidR="00C60302" w:rsidRPr="00EA1C7C" w:rsidRDefault="00C60302" w:rsidP="00EA1C7C">
            <w:pPr>
              <w:spacing w:line="276" w:lineRule="auto"/>
              <w:ind w:left="360"/>
              <w:rPr>
                <w:lang w:val="ro-RO"/>
              </w:rPr>
            </w:pPr>
            <w:r w:rsidRPr="00EA1C7C">
              <w:rPr>
                <w:lang w:val="ro-RO"/>
              </w:rPr>
              <w:t>Restaurarea ecosistemelor naturale inclusiv zonele cu o valoare naturală mare; Restaurarea sau crearea de zone de sălbăticie; Crearea de rețele Natura 2000; Studii teritoriale pentru conceperea de măsuri locale agricole şi de mediu şi acţiuni de informare asupra măsurilor agricole şi de mediu; Activităţi de informare şi de creştere a conștientizării, de exemplu centre pentru vizitatori în zone protejate, acţiuni de publicitate, interpretare şi cărări tematice; Conservarea patrimoniului construit de dimensiuni mici; Acţiuni de inventariere pentru listarea locațiilor de patrimoniu cultural/natural; Întreținerea/dotarea muzeelor; Conservarea patrimoniului nematerial cum ar fi muzica, folclorul, etnologia (identificarea, documentarea, cercetarea, prezervarea, protecţia, promovarea, punerea în valoare, transmiterea, precum si revitalizarea diferitelor aspecte ale patrimoniu imaterial); Soluții pentru colectarea selectivă a deșeurilor; Etc.</w:t>
            </w:r>
          </w:p>
          <w:p w14:paraId="1A643586"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b/>
                <w:color w:val="000000"/>
                <w:szCs w:val="22"/>
                <w:lang w:val="ro-RO"/>
              </w:rPr>
            </w:pPr>
            <w:r w:rsidRPr="001D74E3">
              <w:rPr>
                <w:rFonts w:eastAsia="Trebuchet MS"/>
                <w:b/>
                <w:color w:val="000000"/>
                <w:szCs w:val="22"/>
                <w:lang w:val="ro-RO"/>
              </w:rPr>
              <w:t>Investiții de uz public în infrastructura de agrement, în informarea turiștilor și în infrastructura turistică la scară mică:</w:t>
            </w:r>
          </w:p>
          <w:p w14:paraId="11661AB1" w14:textId="77777777" w:rsidR="00C60302" w:rsidRPr="00EA1C7C" w:rsidRDefault="00C60302" w:rsidP="00EA1C7C">
            <w:pPr>
              <w:spacing w:line="276" w:lineRule="auto"/>
              <w:ind w:left="360"/>
              <w:rPr>
                <w:lang w:val="ro-RO"/>
              </w:rPr>
            </w:pPr>
            <w:r w:rsidRPr="00EA1C7C">
              <w:rPr>
                <w:lang w:val="ro-RO"/>
              </w:rPr>
              <w:t>Demarcarea zonelor turistice; Amenajarea de trasee turistice pentru drumeții/ cicloturism/echitație; Construirea, modernizarea și dotarea centrelor de informare turistică, informaţii şi îndrumare pentru vizitatori; Construirea de adăposturi şi facilități de siguranţa legate de turismul responsabil și durabil; Amenajarea sau modernizarea unor puncte de belvedere sau puncte de observație, dotarea unor puncte de geo-caching, etc.; Plasarea unor panouri informative, indicatoare, marcaje etc. (conectate la aplicație pe telefon unde pot fi găsite informații despre locul respectiv) ; Dezvoltarea sistemelor de rezervări online pentru servicii turistice; Etc.</w:t>
            </w:r>
          </w:p>
          <w:p w14:paraId="151AB6F2"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b/>
                <w:color w:val="000000"/>
                <w:szCs w:val="22"/>
                <w:lang w:val="ro-RO"/>
              </w:rPr>
            </w:pPr>
            <w:r w:rsidRPr="00EA1C7C">
              <w:rPr>
                <w:rFonts w:eastAsia="Trebuchet MS"/>
                <w:b/>
                <w:color w:val="000000"/>
                <w:szCs w:val="22"/>
                <w:lang w:val="ro-RO"/>
              </w:rPr>
              <w:t>Investiții în crearea, îmbunătățirea sau extinderea serviciilor locale de bază destinate populației rurale, inclusiv a celor de agrement și culturale, și a infrastructurii aferente:</w:t>
            </w:r>
          </w:p>
          <w:p w14:paraId="3CE90FB2" w14:textId="77777777" w:rsidR="00C60302" w:rsidRPr="00EA1C7C" w:rsidRDefault="00C60302" w:rsidP="00EA1C7C">
            <w:pPr>
              <w:spacing w:line="276" w:lineRule="auto"/>
              <w:ind w:left="360"/>
              <w:rPr>
                <w:lang w:val="ro-RO"/>
              </w:rPr>
            </w:pPr>
            <w:r w:rsidRPr="00EA1C7C">
              <w:rPr>
                <w:lang w:val="ro-RO"/>
              </w:rPr>
              <w:lastRenderedPageBreak/>
              <w:t>Investiţii în facilități care sprijină activităţi de recreație; Investiții în infrastructura educațională (dotare); Investiţii în stabilirea, extinderea şi modernizarea facilităților care furnizează servicii de bază (adică, pieţe locale, centre de comunitate, etc.); Dotarea unor ateliere pentru diferite meșteșuguri, șezători și alte activități culturale.; Etc.</w:t>
            </w:r>
          </w:p>
          <w:p w14:paraId="540BF8D4" w14:textId="77777777" w:rsidR="00C60302" w:rsidRPr="00EA1C7C" w:rsidRDefault="00C60302" w:rsidP="00EA1C7C">
            <w:pPr>
              <w:spacing w:line="276" w:lineRule="auto"/>
              <w:ind w:left="360"/>
              <w:rPr>
                <w:lang w:val="ro-RO"/>
              </w:rPr>
            </w:pPr>
            <w:r w:rsidRPr="00EA1C7C">
              <w:rPr>
                <w:rFonts w:ascii="Arial" w:eastAsia="Arial" w:hAnsi="Arial" w:cs="Arial"/>
                <w:lang w:val="ro-RO"/>
              </w:rPr>
              <w:t>Investiții în dotarea cu echipamente pentru servicii publice (buldoexcavatoare, autograder, vidanja, etc.)</w:t>
            </w:r>
          </w:p>
          <w:p w14:paraId="6A55BCB2" w14:textId="77777777" w:rsidR="00C60302" w:rsidRPr="001D74E3" w:rsidRDefault="00C60302" w:rsidP="00EA1C7C">
            <w:pPr>
              <w:numPr>
                <w:ilvl w:val="0"/>
                <w:numId w:val="5"/>
              </w:numPr>
              <w:pBdr>
                <w:top w:val="nil"/>
                <w:left w:val="nil"/>
                <w:bottom w:val="nil"/>
                <w:right w:val="nil"/>
                <w:between w:val="nil"/>
              </w:pBdr>
              <w:spacing w:line="276" w:lineRule="auto"/>
              <w:ind w:left="227" w:hanging="227"/>
              <w:jc w:val="left"/>
              <w:rPr>
                <w:rFonts w:eastAsia="Trebuchet MS"/>
                <w:b/>
                <w:color w:val="000000"/>
                <w:szCs w:val="22"/>
                <w:lang w:val="ro-RO"/>
              </w:rPr>
            </w:pPr>
            <w:r w:rsidRPr="001D74E3">
              <w:rPr>
                <w:rFonts w:ascii="Arial" w:eastAsia="Arial" w:hAnsi="Arial" w:cs="Arial"/>
                <w:b/>
                <w:color w:val="000000"/>
                <w:szCs w:val="22"/>
                <w:lang w:val="ro-RO"/>
              </w:rPr>
              <w:t>Investiții în soluții publice de e-guvernare:</w:t>
            </w:r>
          </w:p>
          <w:p w14:paraId="7634F724" w14:textId="77777777" w:rsidR="00C60302" w:rsidRPr="00EA1C7C" w:rsidRDefault="00C60302" w:rsidP="00EA1C7C">
            <w:pPr>
              <w:spacing w:line="276" w:lineRule="auto"/>
              <w:ind w:left="360"/>
              <w:rPr>
                <w:lang w:val="ro-RO"/>
              </w:rPr>
            </w:pPr>
            <w:r w:rsidRPr="00EA1C7C">
              <w:rPr>
                <w:rFonts w:ascii="Arial" w:eastAsia="Arial" w:hAnsi="Arial" w:cs="Arial"/>
                <w:lang w:val="ro-RO"/>
              </w:rPr>
              <w:t>Crearea de aplicații IT, soluții de guvernare online, digitalizare; Etc.</w:t>
            </w:r>
          </w:p>
          <w:p w14:paraId="68FA114B"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b/>
                <w:color w:val="000000"/>
                <w:szCs w:val="22"/>
                <w:lang w:val="ro-RO"/>
              </w:rPr>
            </w:pPr>
            <w:r w:rsidRPr="00EA1C7C">
              <w:rPr>
                <w:rFonts w:eastAsia="Trebuchet MS"/>
                <w:b/>
                <w:color w:val="000000"/>
                <w:szCs w:val="22"/>
                <w:lang w:val="ro-RO"/>
              </w:rPr>
              <w:t>Investiții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5C7655C4" w14:textId="77777777" w:rsidR="00C60302" w:rsidRPr="00EA1C7C" w:rsidRDefault="00C60302" w:rsidP="00EA1C7C">
            <w:pPr>
              <w:numPr>
                <w:ilvl w:val="0"/>
                <w:numId w:val="5"/>
              </w:numPr>
              <w:pBdr>
                <w:top w:val="nil"/>
                <w:left w:val="nil"/>
                <w:bottom w:val="nil"/>
                <w:right w:val="nil"/>
                <w:between w:val="nil"/>
              </w:pBdr>
              <w:spacing w:line="276" w:lineRule="auto"/>
              <w:ind w:left="227" w:hanging="227"/>
              <w:jc w:val="left"/>
              <w:rPr>
                <w:rFonts w:eastAsia="Trebuchet MS"/>
                <w:b/>
                <w:color w:val="000000"/>
                <w:szCs w:val="22"/>
                <w:lang w:val="ro-RO"/>
              </w:rPr>
            </w:pPr>
            <w:r w:rsidRPr="00EA1C7C">
              <w:rPr>
                <w:rFonts w:eastAsia="Trebuchet MS"/>
                <w:b/>
                <w:color w:val="000000"/>
                <w:szCs w:val="22"/>
                <w:lang w:val="ro-RO"/>
              </w:rPr>
              <w:t>Investiții în crearea, îmbunătățirea și extinderea tuturor tipurilor de infrastructuri la scară mică, inclusiv investiții în domeniul energiei din surse regenerabile și al economisirii energiei.</w:t>
            </w:r>
          </w:p>
        </w:tc>
      </w:tr>
      <w:tr w:rsidR="00C60302" w:rsidRPr="001D74E3" w14:paraId="3A29AFE2" w14:textId="77777777" w:rsidTr="00EA1C7C">
        <w:trPr>
          <w:trHeight w:val="207"/>
          <w:jc w:val="center"/>
        </w:trPr>
        <w:tc>
          <w:tcPr>
            <w:tcW w:w="8893" w:type="dxa"/>
            <w:gridSpan w:val="3"/>
            <w:shd w:val="clear" w:color="auto" w:fill="auto"/>
            <w:vAlign w:val="center"/>
          </w:tcPr>
          <w:p w14:paraId="2247DE59" w14:textId="77777777" w:rsidR="00C60302" w:rsidRPr="001D74E3" w:rsidRDefault="00C60302" w:rsidP="00EA1C7C">
            <w:pPr>
              <w:numPr>
                <w:ilvl w:val="0"/>
                <w:numId w:val="8"/>
              </w:numPr>
              <w:pBdr>
                <w:top w:val="nil"/>
                <w:left w:val="nil"/>
                <w:bottom w:val="nil"/>
                <w:right w:val="nil"/>
                <w:between w:val="nil"/>
              </w:pBdr>
              <w:spacing w:line="276" w:lineRule="auto"/>
              <w:ind w:left="510" w:hanging="510"/>
              <w:rPr>
                <w:rFonts w:eastAsia="Trebuchet MS"/>
                <w:b/>
                <w:color w:val="000000"/>
                <w:szCs w:val="22"/>
                <w:lang w:val="ro-RO"/>
              </w:rPr>
            </w:pPr>
            <w:r w:rsidRPr="001D74E3">
              <w:rPr>
                <w:rFonts w:ascii="Arial" w:eastAsia="Arial" w:hAnsi="Arial" w:cs="Arial"/>
                <w:b/>
                <w:color w:val="000000"/>
                <w:szCs w:val="22"/>
                <w:lang w:val="ro-RO"/>
              </w:rPr>
              <w:lastRenderedPageBreak/>
              <w:t>Tipuri de acțiuni neeligibile</w:t>
            </w:r>
          </w:p>
        </w:tc>
      </w:tr>
      <w:tr w:rsidR="00C60302" w:rsidRPr="001D74E3" w14:paraId="2940B2FF" w14:textId="77777777" w:rsidTr="00EA1C7C">
        <w:trPr>
          <w:trHeight w:val="678"/>
          <w:jc w:val="center"/>
        </w:trPr>
        <w:tc>
          <w:tcPr>
            <w:tcW w:w="8893" w:type="dxa"/>
            <w:gridSpan w:val="3"/>
            <w:shd w:val="clear" w:color="auto" w:fill="auto"/>
            <w:vAlign w:val="center"/>
          </w:tcPr>
          <w:p w14:paraId="6C4D49BD"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1D74E3">
              <w:rPr>
                <w:rFonts w:eastAsia="Trebuchet MS"/>
                <w:color w:val="000000"/>
                <w:szCs w:val="22"/>
                <w:lang w:val="ro-RO"/>
              </w:rPr>
              <w:t>Cheltuielile neeligibile generale care sunt prevăzute în capitolul 8.1 PNDR</w:t>
            </w:r>
          </w:p>
          <w:p w14:paraId="6C12D34A"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p>
        </w:tc>
      </w:tr>
      <w:tr w:rsidR="00C60302" w:rsidRPr="001D74E3" w14:paraId="05B7B234" w14:textId="77777777" w:rsidTr="00EA1C7C">
        <w:trPr>
          <w:trHeight w:val="257"/>
          <w:jc w:val="center"/>
        </w:trPr>
        <w:tc>
          <w:tcPr>
            <w:tcW w:w="8893" w:type="dxa"/>
            <w:gridSpan w:val="3"/>
            <w:shd w:val="clear" w:color="auto" w:fill="auto"/>
            <w:vAlign w:val="center"/>
          </w:tcPr>
          <w:p w14:paraId="321FB6E1" w14:textId="77777777" w:rsidR="00C60302" w:rsidRPr="001D74E3"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1D74E3">
              <w:rPr>
                <w:rFonts w:ascii="Arial" w:eastAsia="Arial" w:hAnsi="Arial" w:cs="Arial"/>
                <w:b/>
                <w:color w:val="000000"/>
                <w:szCs w:val="22"/>
                <w:lang w:val="ro-RO"/>
              </w:rPr>
              <w:t>Condiții de eligibilitate</w:t>
            </w:r>
          </w:p>
        </w:tc>
      </w:tr>
      <w:tr w:rsidR="00C60302" w:rsidRPr="00C60302" w14:paraId="7525B31A" w14:textId="77777777" w:rsidTr="00EA1C7C">
        <w:trPr>
          <w:trHeight w:val="440"/>
          <w:jc w:val="center"/>
        </w:trPr>
        <w:tc>
          <w:tcPr>
            <w:tcW w:w="8893" w:type="dxa"/>
            <w:gridSpan w:val="3"/>
            <w:shd w:val="clear" w:color="auto" w:fill="auto"/>
            <w:vAlign w:val="center"/>
          </w:tcPr>
          <w:p w14:paraId="733C2DE9" w14:textId="77777777" w:rsidR="00C60302" w:rsidRPr="00EA1C7C"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EA1C7C">
              <w:rPr>
                <w:rFonts w:eastAsia="Trebuchet MS"/>
                <w:color w:val="000000"/>
                <w:szCs w:val="22"/>
                <w:lang w:val="ro-RO"/>
              </w:rPr>
              <w:t>Solicitantul să se încadreze în categoria beneficiarilor eligibili;</w:t>
            </w:r>
          </w:p>
          <w:p w14:paraId="66BA2640"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1D74E3">
              <w:rPr>
                <w:rFonts w:eastAsia="Trebuchet MS"/>
                <w:color w:val="000000"/>
                <w:szCs w:val="22"/>
                <w:lang w:val="ro-RO"/>
              </w:rPr>
              <w:t>Solicitantul nu trebuie să fie în insolvență sau în incapacitate de plată;</w:t>
            </w:r>
          </w:p>
          <w:p w14:paraId="0E5A4097" w14:textId="77777777" w:rsidR="00C60302" w:rsidRPr="00EA1C7C"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EA1C7C">
              <w:rPr>
                <w:rFonts w:eastAsia="Trebuchet MS"/>
                <w:color w:val="000000"/>
                <w:szCs w:val="22"/>
                <w:lang w:val="ro-RO"/>
              </w:rPr>
              <w:t>Investiția să se încadreze în tipul de sprijin prevăzut prin măsură;</w:t>
            </w:r>
          </w:p>
          <w:p w14:paraId="376CA471" w14:textId="77777777" w:rsidR="00C60302" w:rsidRPr="00EA1C7C"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EA1C7C">
              <w:rPr>
                <w:rFonts w:eastAsia="Trebuchet MS"/>
                <w:color w:val="000000"/>
                <w:szCs w:val="22"/>
                <w:lang w:val="ro-RO"/>
              </w:rPr>
              <w:t>Investiția să se realizeze pe teritoriul GAL;</w:t>
            </w:r>
          </w:p>
          <w:p w14:paraId="5DED56BF" w14:textId="77777777" w:rsidR="00C60302" w:rsidRPr="00EA1C7C"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EA1C7C">
              <w:rPr>
                <w:rFonts w:eastAsia="Trebuchet MS"/>
                <w:color w:val="000000"/>
                <w:szCs w:val="22"/>
                <w:lang w:val="ro-RO"/>
              </w:rPr>
              <w:t>Investiția trebuie să demonstreze necesitatea, oportunitatea acesteia.</w:t>
            </w:r>
          </w:p>
        </w:tc>
      </w:tr>
      <w:tr w:rsidR="00C60302" w:rsidRPr="001D74E3" w14:paraId="4DDC7B80" w14:textId="77777777" w:rsidTr="00EA1C7C">
        <w:trPr>
          <w:trHeight w:val="287"/>
          <w:jc w:val="center"/>
        </w:trPr>
        <w:tc>
          <w:tcPr>
            <w:tcW w:w="8893" w:type="dxa"/>
            <w:gridSpan w:val="3"/>
            <w:shd w:val="clear" w:color="auto" w:fill="auto"/>
            <w:vAlign w:val="center"/>
          </w:tcPr>
          <w:p w14:paraId="4254E4DB" w14:textId="77777777" w:rsidR="00C60302" w:rsidRPr="001D74E3"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1D74E3">
              <w:rPr>
                <w:rFonts w:ascii="Arial" w:eastAsia="Arial" w:hAnsi="Arial" w:cs="Arial"/>
                <w:b/>
                <w:color w:val="000000"/>
                <w:szCs w:val="22"/>
                <w:lang w:val="ro-RO"/>
              </w:rPr>
              <w:t>Criterii de selecție</w:t>
            </w:r>
          </w:p>
        </w:tc>
      </w:tr>
      <w:tr w:rsidR="00C60302" w:rsidRPr="001D74E3" w14:paraId="22CC4616" w14:textId="77777777" w:rsidTr="00EA1C7C">
        <w:trPr>
          <w:trHeight w:val="413"/>
          <w:jc w:val="center"/>
        </w:trPr>
        <w:tc>
          <w:tcPr>
            <w:tcW w:w="8893" w:type="dxa"/>
            <w:gridSpan w:val="3"/>
            <w:shd w:val="clear" w:color="auto" w:fill="auto"/>
            <w:vAlign w:val="center"/>
          </w:tcPr>
          <w:p w14:paraId="1E7AC474" w14:textId="77777777" w:rsidR="00C60302" w:rsidRPr="00EA1C7C"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EA1C7C">
              <w:rPr>
                <w:rFonts w:eastAsia="Trebuchet MS"/>
                <w:color w:val="000000"/>
                <w:szCs w:val="22"/>
                <w:lang w:val="ro-RO"/>
              </w:rPr>
              <w:t>Principiul adresării mai multor comune;</w:t>
            </w:r>
          </w:p>
          <w:p w14:paraId="66CF5FA5"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1D74E3">
              <w:rPr>
                <w:rFonts w:eastAsia="Trebuchet MS"/>
                <w:color w:val="000000"/>
                <w:szCs w:val="22"/>
                <w:lang w:val="ro-RO"/>
              </w:rPr>
              <w:t>Principiul dezvoltării turismului durabil, ecoturismul;</w:t>
            </w:r>
          </w:p>
          <w:p w14:paraId="3C951E0D"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1D74E3">
              <w:rPr>
                <w:rFonts w:ascii="Arial" w:eastAsia="Arial" w:hAnsi="Arial" w:cs="Arial"/>
                <w:color w:val="000000"/>
                <w:szCs w:val="22"/>
                <w:lang w:val="ro-RO"/>
              </w:rPr>
              <w:t>Principiul sprijinirii acțiunilor inovative;</w:t>
            </w:r>
          </w:p>
          <w:p w14:paraId="3FAE9BC9"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1D74E3">
              <w:rPr>
                <w:rFonts w:eastAsia="Trebuchet MS"/>
                <w:color w:val="000000"/>
                <w:szCs w:val="22"/>
                <w:lang w:val="ro-RO"/>
              </w:rPr>
              <w:t>Principiul conservării patrimoniului local;</w:t>
            </w:r>
          </w:p>
          <w:p w14:paraId="289B374D"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1D74E3">
              <w:rPr>
                <w:rFonts w:eastAsia="Trebuchet MS"/>
                <w:color w:val="000000"/>
                <w:szCs w:val="22"/>
                <w:lang w:val="ro-RO"/>
              </w:rPr>
              <w:t>Principiul încurajării parteneriatelor public-privat;</w:t>
            </w:r>
          </w:p>
          <w:p w14:paraId="65A5512C" w14:textId="77777777" w:rsidR="00C60302" w:rsidRPr="00EA1C7C"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EA1C7C">
              <w:rPr>
                <w:rFonts w:ascii="Arial" w:eastAsia="Arial" w:hAnsi="Arial" w:cs="Arial"/>
                <w:color w:val="000000"/>
                <w:szCs w:val="22"/>
                <w:lang w:val="ro-RO"/>
              </w:rPr>
              <w:t>Investiții în dotarea infrastructurilor educaționale;</w:t>
            </w:r>
          </w:p>
          <w:p w14:paraId="1227FAC6" w14:textId="77777777" w:rsidR="00C60302" w:rsidRPr="001D74E3" w:rsidRDefault="00C60302" w:rsidP="00EA1C7C">
            <w:pPr>
              <w:numPr>
                <w:ilvl w:val="0"/>
                <w:numId w:val="4"/>
              </w:numPr>
              <w:pBdr>
                <w:top w:val="nil"/>
                <w:left w:val="nil"/>
                <w:bottom w:val="nil"/>
                <w:right w:val="nil"/>
                <w:between w:val="nil"/>
              </w:pBdr>
              <w:spacing w:line="276" w:lineRule="auto"/>
              <w:ind w:left="227" w:hanging="227"/>
              <w:rPr>
                <w:rFonts w:eastAsia="Trebuchet MS"/>
                <w:color w:val="000000"/>
                <w:szCs w:val="22"/>
                <w:lang w:val="ro-RO"/>
              </w:rPr>
            </w:pPr>
            <w:r w:rsidRPr="001D74E3">
              <w:rPr>
                <w:rFonts w:eastAsia="Trebuchet MS"/>
                <w:color w:val="000000"/>
                <w:szCs w:val="22"/>
                <w:lang w:val="ro-RO"/>
              </w:rPr>
              <w:t>Proiecte care includ folosirea surselor de energie regenerabilă.</w:t>
            </w:r>
          </w:p>
        </w:tc>
      </w:tr>
      <w:tr w:rsidR="00C60302" w:rsidRPr="001D74E3" w14:paraId="3123495B" w14:textId="77777777" w:rsidTr="00EA1C7C">
        <w:trPr>
          <w:trHeight w:val="188"/>
          <w:jc w:val="center"/>
        </w:trPr>
        <w:tc>
          <w:tcPr>
            <w:tcW w:w="8893" w:type="dxa"/>
            <w:gridSpan w:val="3"/>
            <w:shd w:val="clear" w:color="auto" w:fill="auto"/>
            <w:vAlign w:val="center"/>
          </w:tcPr>
          <w:p w14:paraId="11A990C3" w14:textId="77777777" w:rsidR="00C60302" w:rsidRPr="001D74E3"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1D74E3">
              <w:rPr>
                <w:rFonts w:ascii="Arial" w:eastAsia="Arial" w:hAnsi="Arial" w:cs="Arial"/>
                <w:b/>
                <w:color w:val="000000"/>
                <w:szCs w:val="22"/>
                <w:lang w:val="ro-RO"/>
              </w:rPr>
              <w:t>Sume aplicabile și rata sprijinului:</w:t>
            </w:r>
          </w:p>
        </w:tc>
      </w:tr>
      <w:tr w:rsidR="00C60302" w:rsidRPr="00C60302" w14:paraId="00022AD1" w14:textId="77777777" w:rsidTr="00EA1C7C">
        <w:trPr>
          <w:trHeight w:val="630"/>
          <w:jc w:val="center"/>
        </w:trPr>
        <w:tc>
          <w:tcPr>
            <w:tcW w:w="8893" w:type="dxa"/>
            <w:gridSpan w:val="3"/>
            <w:shd w:val="clear" w:color="auto" w:fill="auto"/>
            <w:vAlign w:val="center"/>
          </w:tcPr>
          <w:p w14:paraId="31C1EA99" w14:textId="77777777" w:rsidR="00C60302" w:rsidRPr="001D74E3" w:rsidRDefault="00C60302" w:rsidP="00EA1C7C">
            <w:pPr>
              <w:tabs>
                <w:tab w:val="left" w:pos="168"/>
              </w:tabs>
              <w:spacing w:line="276" w:lineRule="auto"/>
              <w:rPr>
                <w:b/>
                <w:lang w:val="ro-RO"/>
              </w:rPr>
            </w:pPr>
            <w:r w:rsidRPr="001D74E3">
              <w:rPr>
                <w:b/>
                <w:lang w:val="ro-RO"/>
              </w:rPr>
              <w:t>Intensitatea sprijinului:</w:t>
            </w:r>
          </w:p>
          <w:p w14:paraId="7751AE72" w14:textId="77777777" w:rsidR="00C60302" w:rsidRPr="001D74E3" w:rsidRDefault="00C60302" w:rsidP="00EA1C7C">
            <w:pPr>
              <w:numPr>
                <w:ilvl w:val="0"/>
                <w:numId w:val="1"/>
              </w:numPr>
              <w:tabs>
                <w:tab w:val="left" w:pos="168"/>
              </w:tabs>
              <w:spacing w:line="276" w:lineRule="auto"/>
              <w:rPr>
                <w:lang w:val="ro-RO"/>
              </w:rPr>
            </w:pPr>
            <w:r w:rsidRPr="001D74E3">
              <w:rPr>
                <w:lang w:val="ro-RO"/>
              </w:rPr>
              <w:t xml:space="preserve">pentru operațiunile generatoare de venit: până la 90%; </w:t>
            </w:r>
          </w:p>
          <w:p w14:paraId="139E3477" w14:textId="77777777" w:rsidR="00C60302" w:rsidRPr="001D74E3" w:rsidRDefault="00C60302" w:rsidP="00EA1C7C">
            <w:pPr>
              <w:numPr>
                <w:ilvl w:val="0"/>
                <w:numId w:val="1"/>
              </w:numPr>
              <w:tabs>
                <w:tab w:val="left" w:pos="168"/>
              </w:tabs>
              <w:spacing w:line="276" w:lineRule="auto"/>
              <w:rPr>
                <w:lang w:val="ro-RO"/>
              </w:rPr>
            </w:pPr>
            <w:r w:rsidRPr="001D74E3">
              <w:rPr>
                <w:lang w:val="ro-RO"/>
              </w:rPr>
              <w:t xml:space="preserve">pentru operațiunile generatoare de venit cu utilitate publică – până la 100%; </w:t>
            </w:r>
          </w:p>
          <w:p w14:paraId="374F862F" w14:textId="77777777" w:rsidR="00C60302" w:rsidRPr="001D74E3" w:rsidRDefault="00C60302" w:rsidP="00EA1C7C">
            <w:pPr>
              <w:numPr>
                <w:ilvl w:val="0"/>
                <w:numId w:val="1"/>
              </w:numPr>
              <w:tabs>
                <w:tab w:val="left" w:pos="168"/>
              </w:tabs>
              <w:spacing w:line="276" w:lineRule="auto"/>
              <w:rPr>
                <w:lang w:val="ro-RO"/>
              </w:rPr>
            </w:pPr>
            <w:r w:rsidRPr="001D74E3">
              <w:rPr>
                <w:lang w:val="ro-RO"/>
              </w:rPr>
              <w:t xml:space="preserve">pentru operațiunile negeneratoare de venit: până la 100%. </w:t>
            </w:r>
          </w:p>
          <w:p w14:paraId="00DB8176" w14:textId="16EB73BF" w:rsidR="00C60302" w:rsidRPr="00EA1C7C" w:rsidRDefault="00C60302" w:rsidP="00EA1C7C">
            <w:pPr>
              <w:spacing w:line="276" w:lineRule="auto"/>
              <w:rPr>
                <w:lang w:val="ro-RO"/>
              </w:rPr>
            </w:pPr>
            <w:r w:rsidRPr="00EA1C7C">
              <w:rPr>
                <w:b/>
                <w:lang w:val="ro-RO"/>
              </w:rPr>
              <w:t>Valoarea sprijinului:</w:t>
            </w:r>
            <w:r w:rsidRPr="00EA1C7C">
              <w:rPr>
                <w:lang w:val="ro-RO"/>
              </w:rPr>
              <w:t xml:space="preserve"> între 5.000 – </w:t>
            </w:r>
            <w:r w:rsidR="00FB35CB">
              <w:rPr>
                <w:lang w:val="ro-RO"/>
              </w:rPr>
              <w:t>116.758</w:t>
            </w:r>
            <w:r w:rsidR="00BE5445">
              <w:rPr>
                <w:lang w:val="ro-RO"/>
              </w:rPr>
              <w:t>,00</w:t>
            </w:r>
            <w:r w:rsidRPr="00EA1C7C">
              <w:rPr>
                <w:lang w:val="ro-RO"/>
              </w:rPr>
              <w:t xml:space="preserve"> EUR</w:t>
            </w:r>
            <w:r w:rsidR="00BE5445">
              <w:rPr>
                <w:lang w:val="ro-RO"/>
              </w:rPr>
              <w:t>O</w:t>
            </w:r>
            <w:r w:rsidRPr="00EA1C7C">
              <w:rPr>
                <w:lang w:val="ro-RO"/>
              </w:rPr>
              <w:t>/proiect</w:t>
            </w:r>
          </w:p>
        </w:tc>
      </w:tr>
      <w:tr w:rsidR="00C60302" w:rsidRPr="001D74E3" w14:paraId="73A6F66C" w14:textId="77777777" w:rsidTr="00EA1C7C">
        <w:trPr>
          <w:trHeight w:val="429"/>
          <w:jc w:val="center"/>
        </w:trPr>
        <w:tc>
          <w:tcPr>
            <w:tcW w:w="8893" w:type="dxa"/>
            <w:gridSpan w:val="3"/>
            <w:shd w:val="clear" w:color="auto" w:fill="auto"/>
            <w:vAlign w:val="center"/>
          </w:tcPr>
          <w:p w14:paraId="6E314813" w14:textId="77777777" w:rsidR="00C60302" w:rsidRPr="001D74E3" w:rsidRDefault="00C60302" w:rsidP="00EA1C7C">
            <w:pPr>
              <w:numPr>
                <w:ilvl w:val="0"/>
                <w:numId w:val="3"/>
              </w:numPr>
              <w:pBdr>
                <w:top w:val="nil"/>
                <w:left w:val="nil"/>
                <w:bottom w:val="nil"/>
                <w:right w:val="nil"/>
                <w:between w:val="nil"/>
              </w:pBdr>
              <w:spacing w:line="276" w:lineRule="auto"/>
              <w:rPr>
                <w:rFonts w:eastAsia="Trebuchet MS"/>
                <w:b/>
                <w:color w:val="000000"/>
                <w:szCs w:val="22"/>
                <w:lang w:val="ro-RO"/>
              </w:rPr>
            </w:pPr>
            <w:r w:rsidRPr="001D74E3">
              <w:rPr>
                <w:rFonts w:eastAsia="Trebuchet MS"/>
                <w:b/>
                <w:color w:val="000000"/>
                <w:szCs w:val="22"/>
                <w:lang w:val="ro-RO"/>
              </w:rPr>
              <w:t>Indicatori de monitorizare</w:t>
            </w:r>
          </w:p>
        </w:tc>
      </w:tr>
      <w:tr w:rsidR="00C60302" w:rsidRPr="001D74E3" w14:paraId="6A16091D" w14:textId="77777777" w:rsidTr="00EA1C7C">
        <w:trPr>
          <w:trHeight w:val="420"/>
          <w:jc w:val="center"/>
        </w:trPr>
        <w:tc>
          <w:tcPr>
            <w:tcW w:w="7252" w:type="dxa"/>
            <w:gridSpan w:val="2"/>
            <w:shd w:val="clear" w:color="auto" w:fill="auto"/>
            <w:vAlign w:val="center"/>
          </w:tcPr>
          <w:p w14:paraId="67488857" w14:textId="77777777" w:rsidR="00C60302" w:rsidRPr="001D74E3" w:rsidRDefault="00C60302" w:rsidP="00EA1C7C">
            <w:pPr>
              <w:spacing w:line="276" w:lineRule="auto"/>
              <w:rPr>
                <w:b/>
                <w:lang w:val="ro-RO"/>
              </w:rPr>
            </w:pPr>
            <w:r w:rsidRPr="001D74E3">
              <w:rPr>
                <w:lang w:val="ro-RO"/>
              </w:rPr>
              <w:t>Populație netă care beneficiază de servicii/infrastructuri îmbunătățite</w:t>
            </w:r>
          </w:p>
        </w:tc>
        <w:tc>
          <w:tcPr>
            <w:tcW w:w="1641" w:type="dxa"/>
            <w:shd w:val="clear" w:color="auto" w:fill="auto"/>
            <w:vAlign w:val="center"/>
          </w:tcPr>
          <w:p w14:paraId="64A35C3A" w14:textId="77777777" w:rsidR="00C60302" w:rsidRPr="001D74E3" w:rsidRDefault="00C60302" w:rsidP="00EA1C7C">
            <w:pPr>
              <w:pBdr>
                <w:top w:val="nil"/>
                <w:left w:val="nil"/>
                <w:bottom w:val="nil"/>
                <w:right w:val="nil"/>
                <w:between w:val="nil"/>
              </w:pBdr>
              <w:spacing w:line="276" w:lineRule="auto"/>
              <w:rPr>
                <w:rFonts w:eastAsia="Trebuchet MS"/>
                <w:b/>
                <w:color w:val="000000"/>
                <w:szCs w:val="22"/>
                <w:lang w:val="ro-RO"/>
              </w:rPr>
            </w:pPr>
            <w:r w:rsidRPr="001D74E3">
              <w:rPr>
                <w:rFonts w:eastAsia="Trebuchet MS"/>
                <w:b/>
                <w:color w:val="000000"/>
                <w:szCs w:val="22"/>
                <w:lang w:val="ro-RO"/>
              </w:rPr>
              <w:t>20.000 loc.</w:t>
            </w:r>
          </w:p>
        </w:tc>
      </w:tr>
      <w:tr w:rsidR="00C60302" w:rsidRPr="001D74E3" w14:paraId="20FC376D" w14:textId="77777777" w:rsidTr="00EA1C7C">
        <w:trPr>
          <w:trHeight w:val="420"/>
          <w:jc w:val="center"/>
        </w:trPr>
        <w:tc>
          <w:tcPr>
            <w:tcW w:w="7252" w:type="dxa"/>
            <w:gridSpan w:val="2"/>
            <w:shd w:val="clear" w:color="auto" w:fill="auto"/>
            <w:vAlign w:val="center"/>
          </w:tcPr>
          <w:p w14:paraId="6A689AE3" w14:textId="77777777" w:rsidR="00C60302" w:rsidRPr="001D74E3" w:rsidRDefault="00C60302" w:rsidP="00EA1C7C">
            <w:pPr>
              <w:spacing w:line="276" w:lineRule="auto"/>
              <w:rPr>
                <w:lang w:val="ro-RO"/>
              </w:rPr>
            </w:pPr>
            <w:r w:rsidRPr="001D74E3">
              <w:rPr>
                <w:lang w:val="ro-RO"/>
              </w:rPr>
              <w:t>Număr proiecte inovative</w:t>
            </w:r>
          </w:p>
        </w:tc>
        <w:tc>
          <w:tcPr>
            <w:tcW w:w="1641" w:type="dxa"/>
            <w:shd w:val="clear" w:color="auto" w:fill="auto"/>
            <w:vAlign w:val="center"/>
          </w:tcPr>
          <w:p w14:paraId="4A0AF23F" w14:textId="77777777" w:rsidR="00C60302" w:rsidRPr="001D74E3" w:rsidRDefault="00C60302" w:rsidP="00EA1C7C">
            <w:pPr>
              <w:pBdr>
                <w:top w:val="nil"/>
                <w:left w:val="nil"/>
                <w:bottom w:val="nil"/>
                <w:right w:val="nil"/>
                <w:between w:val="nil"/>
              </w:pBdr>
              <w:spacing w:line="276" w:lineRule="auto"/>
              <w:rPr>
                <w:rFonts w:eastAsia="Trebuchet MS"/>
                <w:b/>
                <w:color w:val="000000"/>
                <w:szCs w:val="22"/>
                <w:lang w:val="ro-RO"/>
              </w:rPr>
            </w:pPr>
            <w:r w:rsidRPr="001D74E3">
              <w:rPr>
                <w:rFonts w:eastAsia="Trebuchet MS"/>
                <w:b/>
                <w:color w:val="000000"/>
                <w:szCs w:val="22"/>
                <w:lang w:val="ro-RO"/>
              </w:rPr>
              <w:t>3</w:t>
            </w:r>
          </w:p>
        </w:tc>
      </w:tr>
      <w:tr w:rsidR="00C60302" w:rsidRPr="001D74E3" w14:paraId="2854DA89" w14:textId="77777777" w:rsidTr="00EA1C7C">
        <w:trPr>
          <w:trHeight w:val="420"/>
          <w:jc w:val="center"/>
        </w:trPr>
        <w:tc>
          <w:tcPr>
            <w:tcW w:w="7252" w:type="dxa"/>
            <w:gridSpan w:val="2"/>
            <w:shd w:val="clear" w:color="auto" w:fill="auto"/>
            <w:vAlign w:val="center"/>
          </w:tcPr>
          <w:p w14:paraId="06E71097" w14:textId="77777777" w:rsidR="00C60302" w:rsidRPr="001D74E3" w:rsidRDefault="00C60302" w:rsidP="00EA1C7C">
            <w:pPr>
              <w:spacing w:line="276" w:lineRule="auto"/>
              <w:rPr>
                <w:lang w:val="ro-RO"/>
              </w:rPr>
            </w:pPr>
            <w:r w:rsidRPr="001D74E3">
              <w:rPr>
                <w:lang w:val="ro-RO"/>
              </w:rPr>
              <w:t>Cheltuieli publice totale</w:t>
            </w:r>
          </w:p>
        </w:tc>
        <w:tc>
          <w:tcPr>
            <w:tcW w:w="1641" w:type="dxa"/>
            <w:shd w:val="clear" w:color="auto" w:fill="auto"/>
            <w:vAlign w:val="center"/>
          </w:tcPr>
          <w:p w14:paraId="697428F9" w14:textId="77777777" w:rsidR="00C60302" w:rsidRPr="001D74E3" w:rsidRDefault="00C60302" w:rsidP="00EA1C7C">
            <w:pPr>
              <w:pBdr>
                <w:top w:val="nil"/>
                <w:left w:val="nil"/>
                <w:bottom w:val="nil"/>
                <w:right w:val="nil"/>
                <w:between w:val="nil"/>
              </w:pBdr>
              <w:spacing w:line="276" w:lineRule="auto"/>
              <w:rPr>
                <w:rFonts w:eastAsia="Trebuchet MS"/>
                <w:b/>
                <w:color w:val="000000"/>
                <w:szCs w:val="22"/>
                <w:lang w:val="ro-RO"/>
              </w:rPr>
            </w:pPr>
            <w:r w:rsidRPr="001D74E3">
              <w:rPr>
                <w:rFonts w:eastAsia="Trebuchet MS"/>
                <w:b/>
                <w:color w:val="000000"/>
                <w:szCs w:val="22"/>
                <w:lang w:val="ro-RO"/>
              </w:rPr>
              <w:t>748.407,39  EUR</w:t>
            </w:r>
          </w:p>
        </w:tc>
      </w:tr>
    </w:tbl>
    <w:p w14:paraId="24A9A3E8" w14:textId="77777777" w:rsidR="00C60302" w:rsidRDefault="00C60302"/>
    <w:sectPr w:rsidR="00C60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70D"/>
    <w:multiLevelType w:val="multilevel"/>
    <w:tmpl w:val="0E460960"/>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F4293B"/>
    <w:multiLevelType w:val="multilevel"/>
    <w:tmpl w:val="ED742228"/>
    <w:lvl w:ilvl="0">
      <w:start w:val="1"/>
      <w:numFmt w:val="decimal"/>
      <w:lvlText w:val="%1."/>
      <w:lvlJc w:val="left"/>
      <w:pPr>
        <w:ind w:left="360" w:hanging="360"/>
      </w:pPr>
      <w:rPr>
        <w:b/>
        <w:u w:val="none"/>
      </w:r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A5D61BE"/>
    <w:multiLevelType w:val="multilevel"/>
    <w:tmpl w:val="F86862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5A4E9A"/>
    <w:multiLevelType w:val="multilevel"/>
    <w:tmpl w:val="6928A51E"/>
    <w:lvl w:ilvl="0">
      <w:numFmt w:val="bullet"/>
      <w:lvlText w:val="-"/>
      <w:lvlJc w:val="left"/>
      <w:pPr>
        <w:ind w:left="528" w:hanging="360"/>
      </w:pPr>
      <w:rPr>
        <w:rFonts w:ascii="Trebuchet MS" w:eastAsia="Trebuchet MS" w:hAnsi="Trebuchet MS" w:cs="Trebuchet MS"/>
      </w:rPr>
    </w:lvl>
    <w:lvl w:ilvl="1">
      <w:start w:val="1"/>
      <w:numFmt w:val="bullet"/>
      <w:lvlText w:val="o"/>
      <w:lvlJc w:val="left"/>
      <w:pPr>
        <w:ind w:left="1023" w:hanging="360"/>
      </w:pPr>
      <w:rPr>
        <w:rFonts w:ascii="Courier New" w:eastAsia="Courier New" w:hAnsi="Courier New" w:cs="Courier New"/>
      </w:rPr>
    </w:lvl>
    <w:lvl w:ilvl="2">
      <w:start w:val="1"/>
      <w:numFmt w:val="bullet"/>
      <w:lvlText w:val="▪"/>
      <w:lvlJc w:val="left"/>
      <w:pPr>
        <w:ind w:left="1743" w:hanging="360"/>
      </w:pPr>
      <w:rPr>
        <w:rFonts w:ascii="Noto Sans Symbols" w:eastAsia="Noto Sans Symbols" w:hAnsi="Noto Sans Symbols" w:cs="Noto Sans Symbols"/>
      </w:rPr>
    </w:lvl>
    <w:lvl w:ilvl="3">
      <w:start w:val="1"/>
      <w:numFmt w:val="bullet"/>
      <w:lvlText w:val="●"/>
      <w:lvlJc w:val="left"/>
      <w:pPr>
        <w:ind w:left="2463" w:hanging="360"/>
      </w:pPr>
      <w:rPr>
        <w:rFonts w:ascii="Noto Sans Symbols" w:eastAsia="Noto Sans Symbols" w:hAnsi="Noto Sans Symbols" w:cs="Noto Sans Symbols"/>
      </w:rPr>
    </w:lvl>
    <w:lvl w:ilvl="4">
      <w:start w:val="1"/>
      <w:numFmt w:val="bullet"/>
      <w:lvlText w:val="o"/>
      <w:lvlJc w:val="left"/>
      <w:pPr>
        <w:ind w:left="3183" w:hanging="360"/>
      </w:pPr>
      <w:rPr>
        <w:rFonts w:ascii="Courier New" w:eastAsia="Courier New" w:hAnsi="Courier New" w:cs="Courier New"/>
      </w:rPr>
    </w:lvl>
    <w:lvl w:ilvl="5">
      <w:start w:val="1"/>
      <w:numFmt w:val="bullet"/>
      <w:lvlText w:val="▪"/>
      <w:lvlJc w:val="left"/>
      <w:pPr>
        <w:ind w:left="3903" w:hanging="360"/>
      </w:pPr>
      <w:rPr>
        <w:rFonts w:ascii="Noto Sans Symbols" w:eastAsia="Noto Sans Symbols" w:hAnsi="Noto Sans Symbols" w:cs="Noto Sans Symbols"/>
      </w:rPr>
    </w:lvl>
    <w:lvl w:ilvl="6">
      <w:start w:val="1"/>
      <w:numFmt w:val="bullet"/>
      <w:lvlText w:val="●"/>
      <w:lvlJc w:val="left"/>
      <w:pPr>
        <w:ind w:left="4623" w:hanging="360"/>
      </w:pPr>
      <w:rPr>
        <w:rFonts w:ascii="Noto Sans Symbols" w:eastAsia="Noto Sans Symbols" w:hAnsi="Noto Sans Symbols" w:cs="Noto Sans Symbols"/>
      </w:rPr>
    </w:lvl>
    <w:lvl w:ilvl="7">
      <w:start w:val="1"/>
      <w:numFmt w:val="bullet"/>
      <w:lvlText w:val="o"/>
      <w:lvlJc w:val="left"/>
      <w:pPr>
        <w:ind w:left="5343" w:hanging="360"/>
      </w:pPr>
      <w:rPr>
        <w:rFonts w:ascii="Courier New" w:eastAsia="Courier New" w:hAnsi="Courier New" w:cs="Courier New"/>
      </w:rPr>
    </w:lvl>
    <w:lvl w:ilvl="8">
      <w:start w:val="1"/>
      <w:numFmt w:val="bullet"/>
      <w:lvlText w:val="▪"/>
      <w:lvlJc w:val="left"/>
      <w:pPr>
        <w:ind w:left="6063" w:hanging="360"/>
      </w:pPr>
      <w:rPr>
        <w:rFonts w:ascii="Noto Sans Symbols" w:eastAsia="Noto Sans Symbols" w:hAnsi="Noto Sans Symbols" w:cs="Noto Sans Symbols"/>
      </w:rPr>
    </w:lvl>
  </w:abstractNum>
  <w:abstractNum w:abstractNumId="4" w15:restartNumberingAfterBreak="0">
    <w:nsid w:val="42AE4E65"/>
    <w:multiLevelType w:val="multilevel"/>
    <w:tmpl w:val="8376D2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A9E4A18"/>
    <w:multiLevelType w:val="multilevel"/>
    <w:tmpl w:val="9C2843B4"/>
    <w:lvl w:ilvl="0">
      <w:start w:val="1"/>
      <w:numFmt w:val="decimal"/>
      <w:lvlText w:val="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63B2CAF"/>
    <w:multiLevelType w:val="multilevel"/>
    <w:tmpl w:val="EAC2B002"/>
    <w:lvl w:ilvl="0">
      <w:start w:val="1"/>
      <w:numFmt w:val="decimal"/>
      <w:lvlText w:val="6.%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952457D"/>
    <w:multiLevelType w:val="multilevel"/>
    <w:tmpl w:val="2F3213E0"/>
    <w:lvl w:ilvl="0">
      <w:start w:val="1"/>
      <w:numFmt w:val="decimal"/>
      <w:lvlText w:val="1.%1."/>
      <w:lvlJc w:val="left"/>
      <w:pPr>
        <w:ind w:left="360"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16cid:durableId="1555114524">
    <w:abstractNumId w:val="3"/>
  </w:num>
  <w:num w:numId="2" w16cid:durableId="536747155">
    <w:abstractNumId w:val="7"/>
  </w:num>
  <w:num w:numId="3" w16cid:durableId="2013801536">
    <w:abstractNumId w:val="1"/>
  </w:num>
  <w:num w:numId="4" w16cid:durableId="1392076666">
    <w:abstractNumId w:val="4"/>
  </w:num>
  <w:num w:numId="5" w16cid:durableId="2100328107">
    <w:abstractNumId w:val="2"/>
  </w:num>
  <w:num w:numId="6" w16cid:durableId="1629820171">
    <w:abstractNumId w:val="0"/>
  </w:num>
  <w:num w:numId="7" w16cid:durableId="89587758">
    <w:abstractNumId w:val="5"/>
  </w:num>
  <w:num w:numId="8" w16cid:durableId="573048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02"/>
    <w:rsid w:val="004E0C40"/>
    <w:rsid w:val="00BE5445"/>
    <w:rsid w:val="00C60302"/>
    <w:rsid w:val="00FB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5DB3"/>
  <w15:chartTrackingRefBased/>
  <w15:docId w15:val="{AE668FBA-152F-4983-9FE0-612BFC7B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302"/>
    <w:pPr>
      <w:spacing w:after="0" w:line="300" w:lineRule="auto"/>
      <w:jc w:val="both"/>
    </w:pPr>
    <w:rPr>
      <w:rFonts w:ascii="Trebuchet MS" w:eastAsia="Times New Roman" w:hAnsi="Trebuchet MS" w:cs="Trebuchet MS"/>
      <w:szCs w:val="17"/>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Incze Laura</dc:creator>
  <cp:keywords/>
  <dc:description/>
  <cp:lastModifiedBy> </cp:lastModifiedBy>
  <cp:revision>3</cp:revision>
  <dcterms:created xsi:type="dcterms:W3CDTF">2022-10-02T11:47:00Z</dcterms:created>
  <dcterms:modified xsi:type="dcterms:W3CDTF">2022-10-18T05:16:00Z</dcterms:modified>
</cp:coreProperties>
</file>