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jc w:val="center"/>
        <w:tblLook w:val="04A0" w:firstRow="1" w:lastRow="0" w:firstColumn="1" w:lastColumn="0" w:noHBand="0" w:noVBand="1"/>
      </w:tblPr>
      <w:tblGrid>
        <w:gridCol w:w="2722"/>
        <w:gridCol w:w="4300"/>
        <w:gridCol w:w="2221"/>
      </w:tblGrid>
      <w:tr w:rsidR="00B53233" w:rsidRPr="001C04B8" w:rsidTr="00B53233">
        <w:trPr>
          <w:trHeight w:val="132"/>
          <w:jc w:val="center"/>
        </w:trPr>
        <w:tc>
          <w:tcPr>
            <w:tcW w:w="1421" w:type="pct"/>
            <w:shd w:val="clear" w:color="auto" w:fill="365F91" w:themeFill="accent1" w:themeFillShade="BF"/>
            <w:vAlign w:val="center"/>
          </w:tcPr>
          <w:p w:rsidR="00B53233" w:rsidRPr="004C41B9" w:rsidRDefault="00B53233" w:rsidP="006D50CA">
            <w:pPr>
              <w:spacing w:line="276" w:lineRule="auto"/>
              <w:rPr>
                <w:b/>
                <w:color w:val="FFFFFF" w:themeColor="background1"/>
                <w:szCs w:val="22"/>
              </w:rPr>
            </w:pPr>
            <w:bookmarkStart w:id="0" w:name="_Hlk519760937"/>
            <w:r w:rsidRPr="004C41B9">
              <w:rPr>
                <w:b/>
                <w:color w:val="FFFFFF" w:themeColor="background1"/>
                <w:szCs w:val="22"/>
              </w:rPr>
              <w:t>Denumirea măsurii</w:t>
            </w:r>
          </w:p>
        </w:tc>
        <w:tc>
          <w:tcPr>
            <w:tcW w:w="3579" w:type="pct"/>
            <w:gridSpan w:val="2"/>
            <w:shd w:val="clear" w:color="auto" w:fill="365F91" w:themeFill="accent1" w:themeFillShade="BF"/>
            <w:vAlign w:val="center"/>
          </w:tcPr>
          <w:p w:rsidR="00B53233" w:rsidRPr="004C41B9" w:rsidRDefault="00B53233" w:rsidP="006D50CA">
            <w:pPr>
              <w:spacing w:line="276" w:lineRule="auto"/>
              <w:rPr>
                <w:b/>
                <w:color w:val="FFFFFF" w:themeColor="background1"/>
                <w:szCs w:val="22"/>
              </w:rPr>
            </w:pPr>
            <w:r w:rsidRPr="004C41B9">
              <w:rPr>
                <w:rFonts w:cs="Arial"/>
                <w:b/>
                <w:color w:val="FFFFFF" w:themeColor="background1"/>
                <w:szCs w:val="22"/>
              </w:rPr>
              <w:t>Formare și transfer de cunoștințe</w:t>
            </w:r>
          </w:p>
        </w:tc>
      </w:tr>
      <w:tr w:rsidR="00B53233" w:rsidRPr="001C04B8" w:rsidTr="00B53233">
        <w:trPr>
          <w:trHeight w:val="176"/>
          <w:jc w:val="center"/>
        </w:trPr>
        <w:tc>
          <w:tcPr>
            <w:tcW w:w="1421" w:type="pct"/>
            <w:vAlign w:val="center"/>
          </w:tcPr>
          <w:p w:rsidR="00B53233" w:rsidRPr="001C04B8" w:rsidRDefault="00B53233" w:rsidP="006D50CA">
            <w:pPr>
              <w:spacing w:line="276" w:lineRule="auto"/>
              <w:rPr>
                <w:b/>
                <w:color w:val="000000" w:themeColor="text1"/>
                <w:szCs w:val="22"/>
              </w:rPr>
            </w:pPr>
            <w:r w:rsidRPr="001C04B8">
              <w:rPr>
                <w:b/>
                <w:color w:val="000000" w:themeColor="text1"/>
                <w:szCs w:val="22"/>
              </w:rPr>
              <w:t>Codul măsurii</w:t>
            </w:r>
          </w:p>
        </w:tc>
        <w:tc>
          <w:tcPr>
            <w:tcW w:w="3579" w:type="pct"/>
            <w:gridSpan w:val="2"/>
            <w:vAlign w:val="center"/>
          </w:tcPr>
          <w:p w:rsidR="00B53233" w:rsidRPr="001C04B8" w:rsidRDefault="00B53233" w:rsidP="006D50CA">
            <w:pPr>
              <w:spacing w:line="276" w:lineRule="auto"/>
              <w:rPr>
                <w:b/>
                <w:color w:val="000000" w:themeColor="text1"/>
                <w:szCs w:val="22"/>
              </w:rPr>
            </w:pPr>
            <w:r>
              <w:rPr>
                <w:b/>
                <w:color w:val="000000" w:themeColor="text1"/>
                <w:szCs w:val="22"/>
              </w:rPr>
              <w:t>Măsura</w:t>
            </w:r>
            <w:r w:rsidRPr="001C04B8">
              <w:rPr>
                <w:b/>
                <w:color w:val="000000" w:themeColor="text1"/>
                <w:szCs w:val="22"/>
              </w:rPr>
              <w:t xml:space="preserve"> M9/1C</w:t>
            </w:r>
          </w:p>
        </w:tc>
      </w:tr>
      <w:bookmarkEnd w:id="0"/>
      <w:tr w:rsidR="00B53233" w:rsidRPr="001C04B8" w:rsidTr="00B53233">
        <w:trPr>
          <w:trHeight w:val="273"/>
          <w:jc w:val="center"/>
        </w:trPr>
        <w:tc>
          <w:tcPr>
            <w:tcW w:w="1421" w:type="pct"/>
            <w:vAlign w:val="center"/>
          </w:tcPr>
          <w:p w:rsidR="00B53233" w:rsidRPr="001C04B8" w:rsidRDefault="00B53233" w:rsidP="006D50CA">
            <w:pPr>
              <w:spacing w:line="276" w:lineRule="auto"/>
              <w:rPr>
                <w:b/>
                <w:color w:val="000000" w:themeColor="text1"/>
                <w:szCs w:val="22"/>
              </w:rPr>
            </w:pPr>
            <w:r w:rsidRPr="001C04B8">
              <w:rPr>
                <w:b/>
                <w:color w:val="000000" w:themeColor="text1"/>
                <w:szCs w:val="22"/>
              </w:rPr>
              <w:t>Tipul măsurii</w:t>
            </w:r>
          </w:p>
        </w:tc>
        <w:tc>
          <w:tcPr>
            <w:tcW w:w="3579" w:type="pct"/>
            <w:gridSpan w:val="2"/>
            <w:vAlign w:val="center"/>
          </w:tcPr>
          <w:p w:rsidR="00B53233" w:rsidRPr="001C04B8" w:rsidRDefault="00B53233" w:rsidP="006D50CA">
            <w:pPr>
              <w:pStyle w:val="Default"/>
              <w:spacing w:line="276" w:lineRule="auto"/>
              <w:rPr>
                <w:rFonts w:ascii="Trebuchet MS" w:hAnsi="Trebuchet MS"/>
                <w:sz w:val="22"/>
                <w:szCs w:val="22"/>
              </w:rPr>
            </w:pPr>
            <w:r w:rsidRPr="001C04B8">
              <w:rPr>
                <w:rFonts w:ascii="Trebuchet MS" w:hAnsi="Trebuchet MS"/>
                <w:sz w:val="22"/>
                <w:szCs w:val="22"/>
              </w:rPr>
              <w:sym w:font="Wingdings" w:char="F0A8"/>
            </w:r>
            <w:r w:rsidRPr="001C04B8">
              <w:rPr>
                <w:rFonts w:ascii="Trebuchet MS" w:hAnsi="Trebuchet MS"/>
                <w:sz w:val="22"/>
                <w:szCs w:val="22"/>
              </w:rPr>
              <w:t xml:space="preserve"> </w:t>
            </w:r>
            <w:r w:rsidRPr="001C04B8">
              <w:rPr>
                <w:rFonts w:ascii="Trebuchet MS" w:hAnsi="Trebuchet MS"/>
                <w:b/>
                <w:sz w:val="22"/>
                <w:szCs w:val="22"/>
              </w:rPr>
              <w:t>INVESTIȚII</w:t>
            </w:r>
            <w:r w:rsidRPr="001C04B8">
              <w:rPr>
                <w:rFonts w:ascii="Trebuchet MS" w:hAnsi="Trebuchet MS"/>
                <w:sz w:val="22"/>
                <w:szCs w:val="22"/>
              </w:rPr>
              <w:t xml:space="preserve"> </w:t>
            </w:r>
          </w:p>
          <w:p w:rsidR="00B53233" w:rsidRPr="001C04B8" w:rsidRDefault="00B53233" w:rsidP="006D50CA">
            <w:pPr>
              <w:pStyle w:val="Default"/>
              <w:spacing w:line="276" w:lineRule="auto"/>
              <w:rPr>
                <w:rFonts w:ascii="Trebuchet MS" w:hAnsi="Trebuchet MS"/>
                <w:sz w:val="22"/>
                <w:szCs w:val="22"/>
              </w:rPr>
            </w:pPr>
            <w:r w:rsidRPr="001C04B8">
              <w:rPr>
                <w:rFonts w:ascii="Trebuchet MS" w:hAnsi="Trebuchet MS"/>
                <w:sz w:val="22"/>
                <w:szCs w:val="22"/>
              </w:rPr>
              <w:sym w:font="Wingdings" w:char="F078"/>
            </w:r>
            <w:r w:rsidRPr="001C04B8">
              <w:rPr>
                <w:rFonts w:ascii="Trebuchet MS" w:hAnsi="Trebuchet MS"/>
                <w:sz w:val="22"/>
                <w:szCs w:val="22"/>
              </w:rPr>
              <w:t xml:space="preserve"> </w:t>
            </w:r>
            <w:r w:rsidRPr="001C04B8">
              <w:rPr>
                <w:rFonts w:ascii="Trebuchet MS" w:hAnsi="Trebuchet MS"/>
                <w:b/>
                <w:sz w:val="22"/>
                <w:szCs w:val="22"/>
              </w:rPr>
              <w:t>SERVICII</w:t>
            </w:r>
            <w:r w:rsidRPr="001C04B8">
              <w:rPr>
                <w:rFonts w:ascii="Trebuchet MS" w:hAnsi="Trebuchet MS"/>
                <w:sz w:val="22"/>
                <w:szCs w:val="22"/>
              </w:rPr>
              <w:t xml:space="preserve"> </w:t>
            </w:r>
          </w:p>
          <w:p w:rsidR="00B53233" w:rsidRPr="001C04B8" w:rsidRDefault="00B53233" w:rsidP="006D50CA">
            <w:pPr>
              <w:pStyle w:val="ListParagraph"/>
              <w:spacing w:line="276" w:lineRule="auto"/>
              <w:ind w:left="0"/>
              <w:rPr>
                <w:color w:val="000000" w:themeColor="text1"/>
                <w:szCs w:val="22"/>
              </w:rPr>
            </w:pPr>
            <w:r w:rsidRPr="001C04B8">
              <w:rPr>
                <w:szCs w:val="22"/>
              </w:rPr>
              <w:sym w:font="Wingdings" w:char="F0A8"/>
            </w:r>
            <w:r w:rsidRPr="001C04B8">
              <w:rPr>
                <w:szCs w:val="22"/>
              </w:rPr>
              <w:t xml:space="preserve"> </w:t>
            </w:r>
            <w:r w:rsidRPr="001C04B8">
              <w:rPr>
                <w:b/>
                <w:szCs w:val="22"/>
              </w:rPr>
              <w:t>SPRIJIN FORFETAR</w:t>
            </w:r>
            <w:r w:rsidRPr="001C04B8">
              <w:rPr>
                <w:szCs w:val="22"/>
              </w:rPr>
              <w:t xml:space="preserve"> </w:t>
            </w:r>
          </w:p>
        </w:tc>
      </w:tr>
      <w:tr w:rsidR="00B53233" w:rsidRPr="001C04B8" w:rsidTr="006D50CA">
        <w:trPr>
          <w:trHeight w:val="394"/>
          <w:jc w:val="center"/>
        </w:trPr>
        <w:tc>
          <w:tcPr>
            <w:tcW w:w="5000" w:type="pct"/>
            <w:gridSpan w:val="3"/>
            <w:vAlign w:val="center"/>
          </w:tcPr>
          <w:p w:rsidR="00B53233" w:rsidRPr="001C04B8" w:rsidRDefault="00B53233" w:rsidP="00B53233">
            <w:pPr>
              <w:pStyle w:val="ListParagraph"/>
              <w:numPr>
                <w:ilvl w:val="0"/>
                <w:numId w:val="8"/>
              </w:numPr>
              <w:spacing w:line="276" w:lineRule="auto"/>
              <w:rPr>
                <w:b/>
                <w:color w:val="000000" w:themeColor="text1"/>
                <w:szCs w:val="22"/>
              </w:rPr>
            </w:pPr>
            <w:r w:rsidRPr="001C04B8">
              <w:rPr>
                <w:b/>
                <w:color w:val="000000" w:themeColor="text1"/>
                <w:szCs w:val="22"/>
              </w:rPr>
              <w:t>Descrierea generală a măsurii</w:t>
            </w:r>
          </w:p>
          <w:p w:rsidR="00B53233" w:rsidRPr="001C04B8" w:rsidRDefault="00B53233" w:rsidP="006D50CA">
            <w:pPr>
              <w:tabs>
                <w:tab w:val="left" w:pos="318"/>
              </w:tabs>
              <w:spacing w:line="276" w:lineRule="auto"/>
              <w:rPr>
                <w:color w:val="00B0F0"/>
                <w:szCs w:val="22"/>
              </w:rPr>
            </w:pPr>
            <w:r w:rsidRPr="001C04B8">
              <w:rPr>
                <w:b/>
                <w:szCs w:val="22"/>
              </w:rPr>
              <w:t>Obiectivul</w:t>
            </w:r>
            <w:r w:rsidRPr="001C04B8">
              <w:rPr>
                <w:szCs w:val="22"/>
              </w:rPr>
              <w:t xml:space="preserve"> sprijinului este facilitarea transferului de cunoştinţe și competențe relevante care să permită gospodărirea şi gestionarea durabilă a terenurilor agricole, creşterea calităţii managementului la nivel de ferme, asociaţii și cooperative, îmbunătăţirea competitivităţii și diversificării sectoarelor agricol şi alimentar, încurajarea afacerilor orientate spre piaţă, asimilarea de cunoștințe și informații noi privind procesarea şi comercializarea produselor agricole, dezvoltarea resurselor umane prin programe educaționale, informare şi difuzare de cunoştinţe inovative adresate persoanelor adulte care activează în sectoarele menţionate, dezvoltându-le aptitudinile economico-financiare şi de management, cât şi a celor legate de aplicarea soluțiilor tehnologice şi practicilor agricole inovative de mediu. Această măsură va contribui astfel și la îmbunătățirea condițiilor de viață şi reducerea șomajului în teritoriu.</w:t>
            </w:r>
          </w:p>
          <w:p w:rsidR="00B53233" w:rsidRPr="001C04B8" w:rsidRDefault="00B53233" w:rsidP="006D50CA">
            <w:pPr>
              <w:spacing w:line="276" w:lineRule="auto"/>
              <w:rPr>
                <w:szCs w:val="22"/>
              </w:rPr>
            </w:pPr>
            <w:r w:rsidRPr="001C04B8">
              <w:rPr>
                <w:b/>
                <w:szCs w:val="22"/>
              </w:rPr>
              <w:t>Scopul</w:t>
            </w:r>
            <w:r w:rsidRPr="001C04B8">
              <w:rPr>
                <w:szCs w:val="22"/>
              </w:rPr>
              <w:t xml:space="preserve"> măsurii este sprijinirea fermierilor mici și medii pentru dezvoltare și acces la piață prin creşterea competitivităţii şi diversificării produselor şi activităţilor din agricultură, îmbunătățirea cunoștințelor tehnice și economice, specifice pentru practicarea și gestionarea activităților în domeniul agricol și agroalimentar ale fermierilor și pentru gestionarea  eficientă  a  resurselor  naturale, precum și implementarea angajamentelor de agro-mediu și climă și agricultură ecologică, și nu în ultimul rând asimilarea unor competențe antreprenoriale necesare pentru pornirea unei afaceri proprii atât în domeniul agricol, cât și cel non-agricol. </w:t>
            </w:r>
          </w:p>
        </w:tc>
      </w:tr>
      <w:tr w:rsidR="00B53233" w:rsidRPr="001C04B8" w:rsidTr="00B53233">
        <w:trPr>
          <w:trHeight w:val="350"/>
          <w:jc w:val="center"/>
        </w:trPr>
        <w:tc>
          <w:tcPr>
            <w:tcW w:w="1421" w:type="pct"/>
            <w:vAlign w:val="center"/>
          </w:tcPr>
          <w:p w:rsidR="00B53233" w:rsidRPr="001C04B8" w:rsidRDefault="00B53233" w:rsidP="00B53233">
            <w:pPr>
              <w:pStyle w:val="ListParagraph"/>
              <w:numPr>
                <w:ilvl w:val="0"/>
                <w:numId w:val="3"/>
              </w:numPr>
              <w:spacing w:line="276" w:lineRule="auto"/>
              <w:ind w:left="510" w:hanging="510"/>
              <w:jc w:val="left"/>
              <w:rPr>
                <w:color w:val="000000" w:themeColor="text1"/>
                <w:szCs w:val="22"/>
              </w:rPr>
            </w:pPr>
            <w:r w:rsidRPr="001C04B8">
              <w:rPr>
                <w:b/>
                <w:color w:val="000000" w:themeColor="text1"/>
                <w:szCs w:val="22"/>
              </w:rPr>
              <w:t>Justificare și corelare cu analiza SWOT</w:t>
            </w:r>
          </w:p>
        </w:tc>
        <w:tc>
          <w:tcPr>
            <w:tcW w:w="3579" w:type="pct"/>
            <w:gridSpan w:val="2"/>
            <w:vAlign w:val="center"/>
          </w:tcPr>
          <w:p w:rsidR="00B53233" w:rsidRPr="001C04B8" w:rsidRDefault="00B53233" w:rsidP="006D50CA">
            <w:pPr>
              <w:spacing w:line="276" w:lineRule="auto"/>
              <w:rPr>
                <w:szCs w:val="22"/>
              </w:rPr>
            </w:pPr>
            <w:r w:rsidRPr="001C04B8">
              <w:rPr>
                <w:rStyle w:val="Emphasis"/>
                <w:szCs w:val="22"/>
              </w:rPr>
              <w:t xml:space="preserve">Necesitatea sprijinului derivă din analiza SWOT a teritoriului GAL Someș Transilvan, de unde reiese că un număr mare de persoane care lucrează în exploatații agricole fără personalitate juridică și o foarte mare parte a populației reprezintă categoria agricultorilor de subzistență care nu dispun de cunoștințele necesare unei </w:t>
            </w:r>
            <w:r w:rsidRPr="001C04B8">
              <w:rPr>
                <w:szCs w:val="22"/>
              </w:rPr>
              <w:t>gospodăriri şi gestionări durabile a terenurilor, de management al fermelor, de condițiile și beneficiile asocierii, de aspecte legate de competitivitatea și diversificarea sectoarelor agricol şi alimentar și astfel nu au acces la piața.</w:t>
            </w:r>
            <w:r w:rsidRPr="001C04B8">
              <w:rPr>
                <w:color w:val="000000" w:themeColor="text1"/>
                <w:szCs w:val="22"/>
              </w:rPr>
              <w:t xml:space="preserve"> Nevoia pentru </w:t>
            </w:r>
            <w:r w:rsidRPr="001C04B8">
              <w:rPr>
                <w:szCs w:val="22"/>
              </w:rPr>
              <w:t>activitățile de</w:t>
            </w:r>
            <w:r w:rsidRPr="001C04B8">
              <w:rPr>
                <w:color w:val="00B0F0"/>
                <w:szCs w:val="22"/>
              </w:rPr>
              <w:t xml:space="preserve"> </w:t>
            </w:r>
            <w:r w:rsidRPr="001C04B8">
              <w:rPr>
                <w:rFonts w:cs="Arial"/>
                <w:szCs w:val="22"/>
              </w:rPr>
              <w:t xml:space="preserve">transfer de cunoștințe și activități informare </w:t>
            </w:r>
            <w:r w:rsidRPr="001C04B8">
              <w:rPr>
                <w:szCs w:val="22"/>
              </w:rPr>
              <w:t>apare în contextul legat de creşterea competitivităţii şi diversificării produselor şi activităţilor din agricultură, de restructurarea şi modernizarea sectoarelor agricol, a sectoarelor de procesare şi comercializare pentru produsele agricole, de încurajarea afacerilor orientate spre piaţă, a cerințelor pentru o gamă largă de aptitudini economice şi de management.</w:t>
            </w:r>
          </w:p>
          <w:p w:rsidR="00B53233" w:rsidRPr="001C04B8" w:rsidRDefault="00B53233" w:rsidP="006D50CA">
            <w:pPr>
              <w:spacing w:line="276" w:lineRule="auto"/>
              <w:rPr>
                <w:szCs w:val="22"/>
              </w:rPr>
            </w:pPr>
            <w:r w:rsidRPr="001C04B8">
              <w:rPr>
                <w:szCs w:val="22"/>
              </w:rPr>
              <w:t>Prin acțiunile de instruire profesională și dobândire de competențe, grupul țintă va fi încurajat şi sprijinit să se adapteze nevoilor pieţei şi a consumatorilor.</w:t>
            </w:r>
          </w:p>
          <w:p w:rsidR="00B53233" w:rsidRPr="001C04B8" w:rsidRDefault="00B53233" w:rsidP="006D50CA">
            <w:pPr>
              <w:spacing w:line="276" w:lineRule="auto"/>
              <w:rPr>
                <w:color w:val="000000" w:themeColor="text1"/>
                <w:szCs w:val="22"/>
              </w:rPr>
            </w:pPr>
            <w:r w:rsidRPr="001C04B8">
              <w:rPr>
                <w:szCs w:val="22"/>
              </w:rPr>
              <w:t xml:space="preserve">Sprijinul acordat prin acțiunile propuse va asigura faptul că </w:t>
            </w:r>
            <w:r w:rsidRPr="001C04B8">
              <w:rPr>
                <w:szCs w:val="22"/>
              </w:rPr>
              <w:lastRenderedPageBreak/>
              <w:t>fermierii vor avea acces la informații și cunoștințe care vor contribui la dezvoltarea abilităților în sectorul agricol, adoptarea de practici agricole prietenoase cu mediul, gestionarea riscurilor la care sunt expuse exploataţiile, care vor asigura un management eficient și profesionist al exploataţiilor și se va încuraja spiritul antreprenorial și asociativ în mediul rural.</w:t>
            </w:r>
          </w:p>
        </w:tc>
      </w:tr>
      <w:tr w:rsidR="00B53233" w:rsidRPr="001C04B8" w:rsidTr="00B53233">
        <w:trPr>
          <w:trHeight w:val="431"/>
          <w:jc w:val="center"/>
        </w:trPr>
        <w:tc>
          <w:tcPr>
            <w:tcW w:w="1421" w:type="pct"/>
            <w:vAlign w:val="center"/>
          </w:tcPr>
          <w:p w:rsidR="00B53233" w:rsidRPr="001C04B8" w:rsidRDefault="00B53233" w:rsidP="00B53233">
            <w:pPr>
              <w:pStyle w:val="ListParagraph"/>
              <w:numPr>
                <w:ilvl w:val="0"/>
                <w:numId w:val="3"/>
              </w:numPr>
              <w:spacing w:line="276" w:lineRule="auto"/>
              <w:ind w:left="510" w:hanging="510"/>
              <w:jc w:val="left"/>
              <w:rPr>
                <w:b/>
                <w:color w:val="000000" w:themeColor="text1"/>
                <w:szCs w:val="22"/>
              </w:rPr>
            </w:pPr>
            <w:r w:rsidRPr="001C04B8">
              <w:rPr>
                <w:b/>
                <w:color w:val="000000" w:themeColor="text1"/>
                <w:szCs w:val="22"/>
              </w:rPr>
              <w:lastRenderedPageBreak/>
              <w:t>Obiectiv(e) de dezvoltare rurală al Reg. (UE) 1305/2013, art.4</w:t>
            </w:r>
          </w:p>
        </w:tc>
        <w:tc>
          <w:tcPr>
            <w:tcW w:w="3579" w:type="pct"/>
            <w:gridSpan w:val="2"/>
            <w:vAlign w:val="center"/>
          </w:tcPr>
          <w:p w:rsidR="00B53233" w:rsidRPr="001C04B8" w:rsidRDefault="00B53233" w:rsidP="006D50CA">
            <w:pPr>
              <w:tabs>
                <w:tab w:val="left" w:pos="231"/>
              </w:tabs>
              <w:spacing w:line="276" w:lineRule="auto"/>
              <w:ind w:left="57"/>
              <w:rPr>
                <w:szCs w:val="22"/>
              </w:rPr>
            </w:pPr>
            <w:r w:rsidRPr="001C04B8">
              <w:rPr>
                <w:szCs w:val="22"/>
              </w:rPr>
              <w:t>Măsura contribuie la următoarele obiective de dezvoltare rurală:</w:t>
            </w:r>
          </w:p>
          <w:p w:rsidR="00B53233" w:rsidRPr="001C04B8" w:rsidRDefault="00B53233" w:rsidP="006D50CA">
            <w:pPr>
              <w:tabs>
                <w:tab w:val="left" w:pos="231"/>
              </w:tabs>
              <w:spacing w:line="276" w:lineRule="auto"/>
              <w:ind w:left="57"/>
              <w:rPr>
                <w:szCs w:val="22"/>
              </w:rPr>
            </w:pPr>
            <w:r w:rsidRPr="001C04B8">
              <w:rPr>
                <w:szCs w:val="22"/>
              </w:rPr>
              <w:t>a) favorizarea competitivităţii agriculturii;</w:t>
            </w:r>
          </w:p>
          <w:p w:rsidR="00B53233" w:rsidRPr="001C04B8" w:rsidRDefault="00B53233" w:rsidP="006D50CA">
            <w:pPr>
              <w:shd w:val="clear" w:color="auto" w:fill="FFFFFF"/>
              <w:spacing w:line="276" w:lineRule="auto"/>
              <w:ind w:left="57"/>
              <w:rPr>
                <w:szCs w:val="22"/>
              </w:rPr>
            </w:pPr>
            <w:r w:rsidRPr="001C04B8">
              <w:rPr>
                <w:bCs/>
                <w:szCs w:val="22"/>
              </w:rPr>
              <w:t xml:space="preserve">b) </w:t>
            </w:r>
            <w:r w:rsidRPr="001C04B8">
              <w:rPr>
                <w:szCs w:val="22"/>
              </w:rPr>
              <w:t>asigurarea gestionării durabile a resurselor naturale şi combaterea schimbărilor climatice;</w:t>
            </w:r>
          </w:p>
        </w:tc>
      </w:tr>
      <w:tr w:rsidR="00B53233" w:rsidRPr="001C04B8" w:rsidTr="00B53233">
        <w:trPr>
          <w:trHeight w:val="350"/>
          <w:jc w:val="center"/>
        </w:trPr>
        <w:tc>
          <w:tcPr>
            <w:tcW w:w="1421" w:type="pct"/>
            <w:vAlign w:val="center"/>
          </w:tcPr>
          <w:p w:rsidR="00B53233" w:rsidRPr="001C04B8" w:rsidRDefault="00B53233" w:rsidP="00B53233">
            <w:pPr>
              <w:pStyle w:val="ListParagraph"/>
              <w:numPr>
                <w:ilvl w:val="0"/>
                <w:numId w:val="3"/>
              </w:numPr>
              <w:spacing w:line="276" w:lineRule="auto"/>
              <w:ind w:left="510" w:hanging="510"/>
              <w:jc w:val="left"/>
              <w:rPr>
                <w:b/>
                <w:color w:val="000000" w:themeColor="text1"/>
                <w:szCs w:val="22"/>
              </w:rPr>
            </w:pPr>
            <w:r w:rsidRPr="001C04B8">
              <w:rPr>
                <w:b/>
                <w:color w:val="000000" w:themeColor="text1"/>
                <w:szCs w:val="22"/>
              </w:rPr>
              <w:t>Obiectiv(e) specific(e) local(e) al(e) măsurii</w:t>
            </w:r>
          </w:p>
        </w:tc>
        <w:tc>
          <w:tcPr>
            <w:tcW w:w="3579" w:type="pct"/>
            <w:gridSpan w:val="2"/>
            <w:vAlign w:val="center"/>
          </w:tcPr>
          <w:p w:rsidR="00B53233" w:rsidRPr="001C04B8" w:rsidRDefault="00B53233" w:rsidP="00B53233">
            <w:pPr>
              <w:pStyle w:val="ListParagraph"/>
              <w:numPr>
                <w:ilvl w:val="0"/>
                <w:numId w:val="4"/>
              </w:numPr>
              <w:tabs>
                <w:tab w:val="left" w:pos="446"/>
              </w:tabs>
              <w:autoSpaceDE w:val="0"/>
              <w:autoSpaceDN w:val="0"/>
              <w:adjustRightInd w:val="0"/>
              <w:spacing w:line="276" w:lineRule="auto"/>
              <w:ind w:left="57"/>
              <w:rPr>
                <w:rFonts w:cs="Arial"/>
                <w:color w:val="000000" w:themeColor="text1"/>
                <w:szCs w:val="22"/>
              </w:rPr>
            </w:pPr>
            <w:r w:rsidRPr="001C04B8">
              <w:rPr>
                <w:rFonts w:cs="Arial"/>
                <w:color w:val="000000" w:themeColor="text1"/>
                <w:szCs w:val="22"/>
              </w:rPr>
              <w:t>Creşterea competitivităţii şi diversificării produselor şi activităţilor din agricultură</w:t>
            </w:r>
          </w:p>
          <w:p w:rsidR="00B53233" w:rsidRPr="001C04B8" w:rsidRDefault="00B53233" w:rsidP="00B53233">
            <w:pPr>
              <w:pStyle w:val="ListParagraph"/>
              <w:numPr>
                <w:ilvl w:val="0"/>
                <w:numId w:val="4"/>
              </w:numPr>
              <w:tabs>
                <w:tab w:val="left" w:pos="446"/>
              </w:tabs>
              <w:autoSpaceDE w:val="0"/>
              <w:autoSpaceDN w:val="0"/>
              <w:adjustRightInd w:val="0"/>
              <w:spacing w:line="276" w:lineRule="auto"/>
              <w:ind w:left="57"/>
              <w:rPr>
                <w:rFonts w:cs="Arial"/>
                <w:color w:val="000000" w:themeColor="text1"/>
                <w:szCs w:val="22"/>
              </w:rPr>
            </w:pPr>
            <w:r w:rsidRPr="001C04B8">
              <w:rPr>
                <w:rFonts w:cs="Arial"/>
                <w:color w:val="000000" w:themeColor="text1"/>
                <w:szCs w:val="22"/>
              </w:rPr>
              <w:t>Îmbunătățirea cunoștințelor fermierilor în scopul practicării de tehnici și tehnologii agricole și inovative</w:t>
            </w:r>
          </w:p>
          <w:p w:rsidR="00B53233" w:rsidRPr="001C04B8" w:rsidRDefault="00B53233" w:rsidP="00B53233">
            <w:pPr>
              <w:pStyle w:val="ListParagraph"/>
              <w:numPr>
                <w:ilvl w:val="0"/>
                <w:numId w:val="4"/>
              </w:numPr>
              <w:tabs>
                <w:tab w:val="left" w:pos="446"/>
              </w:tabs>
              <w:autoSpaceDE w:val="0"/>
              <w:autoSpaceDN w:val="0"/>
              <w:adjustRightInd w:val="0"/>
              <w:spacing w:line="276" w:lineRule="auto"/>
              <w:ind w:left="57"/>
              <w:rPr>
                <w:rFonts w:cs="Arial"/>
                <w:color w:val="000000" w:themeColor="text1"/>
                <w:szCs w:val="22"/>
              </w:rPr>
            </w:pPr>
            <w:r w:rsidRPr="001C04B8">
              <w:rPr>
                <w:rFonts w:cs="Arial"/>
                <w:color w:val="000000" w:themeColor="text1"/>
                <w:szCs w:val="22"/>
              </w:rPr>
              <w:t xml:space="preserve">Îmbunătățirea cunoștințelor legate de standarde comunitare la nivelul fermei, îmbunătățirea calității producției </w:t>
            </w:r>
          </w:p>
          <w:p w:rsidR="00B53233" w:rsidRPr="001C04B8" w:rsidRDefault="00B53233" w:rsidP="00B53233">
            <w:pPr>
              <w:pStyle w:val="ListParagraph"/>
              <w:numPr>
                <w:ilvl w:val="0"/>
                <w:numId w:val="4"/>
              </w:numPr>
              <w:tabs>
                <w:tab w:val="left" w:pos="446"/>
              </w:tabs>
              <w:autoSpaceDE w:val="0"/>
              <w:autoSpaceDN w:val="0"/>
              <w:adjustRightInd w:val="0"/>
              <w:spacing w:line="276" w:lineRule="auto"/>
              <w:ind w:left="57"/>
              <w:rPr>
                <w:rFonts w:cs="Arial"/>
                <w:color w:val="000000" w:themeColor="text1"/>
                <w:szCs w:val="22"/>
              </w:rPr>
            </w:pPr>
            <w:r w:rsidRPr="001C04B8">
              <w:rPr>
                <w:rFonts w:cs="Arial"/>
                <w:color w:val="000000" w:themeColor="text1"/>
                <w:szCs w:val="22"/>
              </w:rPr>
              <w:t xml:space="preserve">Diversificarea activităților în exploatațiile agricole </w:t>
            </w:r>
          </w:p>
          <w:p w:rsidR="00B53233" w:rsidRPr="001C04B8" w:rsidRDefault="00B53233" w:rsidP="00B53233">
            <w:pPr>
              <w:pStyle w:val="ListParagraph"/>
              <w:numPr>
                <w:ilvl w:val="0"/>
                <w:numId w:val="4"/>
              </w:numPr>
              <w:tabs>
                <w:tab w:val="left" w:pos="446"/>
              </w:tabs>
              <w:autoSpaceDE w:val="0"/>
              <w:autoSpaceDN w:val="0"/>
              <w:adjustRightInd w:val="0"/>
              <w:spacing w:line="276" w:lineRule="auto"/>
              <w:ind w:left="57"/>
              <w:rPr>
                <w:rFonts w:cs="Arial"/>
                <w:color w:val="000000" w:themeColor="text1"/>
                <w:szCs w:val="22"/>
              </w:rPr>
            </w:pPr>
            <w:r w:rsidRPr="001C04B8">
              <w:rPr>
                <w:rFonts w:cs="Arial"/>
                <w:color w:val="000000" w:themeColor="text1"/>
                <w:szCs w:val="22"/>
              </w:rPr>
              <w:t xml:space="preserve">Dobândirea și îmbunătățirea cunoștințelor privind managementul durabil al terenurilor agricole, însușirea cunoștințelor privind implementarea angajamentelor de agro-mediu şi climă și agricultură ecologică </w:t>
            </w:r>
          </w:p>
          <w:p w:rsidR="00B53233" w:rsidRPr="001C04B8" w:rsidRDefault="00B53233" w:rsidP="00B53233">
            <w:pPr>
              <w:pStyle w:val="ListParagraph"/>
              <w:numPr>
                <w:ilvl w:val="0"/>
                <w:numId w:val="4"/>
              </w:numPr>
              <w:tabs>
                <w:tab w:val="left" w:pos="446"/>
              </w:tabs>
              <w:autoSpaceDE w:val="0"/>
              <w:autoSpaceDN w:val="0"/>
              <w:adjustRightInd w:val="0"/>
              <w:spacing w:line="276" w:lineRule="auto"/>
              <w:ind w:left="57"/>
              <w:rPr>
                <w:rFonts w:cs="Arial"/>
                <w:color w:val="000000" w:themeColor="text1"/>
                <w:szCs w:val="22"/>
              </w:rPr>
            </w:pPr>
            <w:r w:rsidRPr="001C04B8">
              <w:rPr>
                <w:rFonts w:cs="Arial"/>
                <w:color w:val="000000" w:themeColor="text1"/>
                <w:szCs w:val="22"/>
              </w:rPr>
              <w:t xml:space="preserve">Dezvoltarea unor competențe de management general al fermei (contabilitate, marketing, cunoștințe TIC, etc) </w:t>
            </w:r>
          </w:p>
          <w:p w:rsidR="00B53233" w:rsidRPr="001C04B8" w:rsidRDefault="00B53233" w:rsidP="00B53233">
            <w:pPr>
              <w:pStyle w:val="ListParagraph"/>
              <w:numPr>
                <w:ilvl w:val="0"/>
                <w:numId w:val="4"/>
              </w:numPr>
              <w:autoSpaceDE w:val="0"/>
              <w:autoSpaceDN w:val="0"/>
              <w:adjustRightInd w:val="0"/>
              <w:spacing w:line="276" w:lineRule="auto"/>
              <w:ind w:left="57"/>
              <w:rPr>
                <w:rFonts w:cs="Arial"/>
                <w:color w:val="000000" w:themeColor="text1"/>
                <w:szCs w:val="22"/>
              </w:rPr>
            </w:pPr>
            <w:r w:rsidRPr="001C04B8">
              <w:rPr>
                <w:rFonts w:cs="Arial"/>
                <w:color w:val="000000" w:themeColor="text1"/>
                <w:szCs w:val="22"/>
              </w:rPr>
              <w:t>Î</w:t>
            </w:r>
            <w:r w:rsidRPr="001C04B8">
              <w:rPr>
                <w:szCs w:val="22"/>
              </w:rPr>
              <w:t>ncurajarea spiritului antreprenorial și al asociativității.</w:t>
            </w:r>
          </w:p>
        </w:tc>
      </w:tr>
      <w:tr w:rsidR="00B53233" w:rsidRPr="001C04B8" w:rsidTr="00B53233">
        <w:trPr>
          <w:trHeight w:val="620"/>
          <w:jc w:val="center"/>
        </w:trPr>
        <w:tc>
          <w:tcPr>
            <w:tcW w:w="1421" w:type="pct"/>
            <w:vAlign w:val="center"/>
          </w:tcPr>
          <w:p w:rsidR="00B53233" w:rsidRPr="001C04B8" w:rsidRDefault="00B53233" w:rsidP="00B53233">
            <w:pPr>
              <w:pStyle w:val="ListParagraph"/>
              <w:numPr>
                <w:ilvl w:val="0"/>
                <w:numId w:val="3"/>
              </w:numPr>
              <w:spacing w:line="276" w:lineRule="auto"/>
              <w:ind w:left="510" w:hanging="510"/>
              <w:jc w:val="left"/>
              <w:rPr>
                <w:b/>
                <w:color w:val="000000" w:themeColor="text1"/>
                <w:szCs w:val="22"/>
              </w:rPr>
            </w:pPr>
            <w:r w:rsidRPr="001C04B8">
              <w:rPr>
                <w:b/>
                <w:color w:val="000000" w:themeColor="text1"/>
                <w:szCs w:val="22"/>
              </w:rPr>
              <w:t>Contribuție la prioritatea/prioritățile prevăzute la art.5, Reg.(UE) nr.1305/2013</w:t>
            </w:r>
          </w:p>
        </w:tc>
        <w:tc>
          <w:tcPr>
            <w:tcW w:w="3579" w:type="pct"/>
            <w:gridSpan w:val="2"/>
            <w:vAlign w:val="center"/>
          </w:tcPr>
          <w:p w:rsidR="00B53233" w:rsidRPr="001C04B8" w:rsidRDefault="00B53233" w:rsidP="006D50CA">
            <w:pPr>
              <w:pStyle w:val="Default"/>
              <w:spacing w:line="276" w:lineRule="auto"/>
              <w:ind w:left="57"/>
              <w:jc w:val="both"/>
              <w:rPr>
                <w:rFonts w:ascii="Trebuchet MS" w:hAnsi="Trebuchet MS"/>
                <w:color w:val="000000" w:themeColor="text1"/>
                <w:sz w:val="22"/>
                <w:szCs w:val="22"/>
              </w:rPr>
            </w:pPr>
            <w:r w:rsidRPr="001C04B8">
              <w:rPr>
                <w:rFonts w:ascii="Trebuchet MS" w:hAnsi="Trebuchet MS"/>
                <w:color w:val="000000" w:themeColor="text1"/>
                <w:sz w:val="22"/>
                <w:szCs w:val="22"/>
              </w:rPr>
              <w:t>Măsura contribuie în principal la realizarea</w:t>
            </w:r>
            <w:r w:rsidRPr="001C04B8">
              <w:rPr>
                <w:rFonts w:ascii="Trebuchet MS" w:hAnsi="Trebuchet MS"/>
                <w:b/>
                <w:color w:val="000000" w:themeColor="text1"/>
                <w:sz w:val="22"/>
                <w:szCs w:val="22"/>
              </w:rPr>
              <w:t xml:space="preserve"> Priorității (1)</w:t>
            </w:r>
            <w:r w:rsidRPr="001C04B8">
              <w:rPr>
                <w:rFonts w:ascii="Trebuchet MS" w:hAnsi="Trebuchet MS"/>
                <w:color w:val="000000" w:themeColor="text1"/>
                <w:sz w:val="22"/>
                <w:szCs w:val="22"/>
              </w:rPr>
              <w:t xml:space="preserve"> Încurajarea transferului de cunoştinţe şi a inovării în agricultură, silvicultură şi a zonelor rurale.</w:t>
            </w:r>
          </w:p>
        </w:tc>
      </w:tr>
      <w:tr w:rsidR="00B53233" w:rsidRPr="001C04B8" w:rsidTr="00B53233">
        <w:trPr>
          <w:trHeight w:val="440"/>
          <w:jc w:val="center"/>
        </w:trPr>
        <w:tc>
          <w:tcPr>
            <w:tcW w:w="1421" w:type="pct"/>
            <w:vAlign w:val="center"/>
          </w:tcPr>
          <w:p w:rsidR="00B53233" w:rsidRPr="001C04B8" w:rsidRDefault="00B53233" w:rsidP="00B53233">
            <w:pPr>
              <w:pStyle w:val="ListParagraph"/>
              <w:numPr>
                <w:ilvl w:val="0"/>
                <w:numId w:val="3"/>
              </w:numPr>
              <w:spacing w:line="276" w:lineRule="auto"/>
              <w:ind w:left="510" w:hanging="510"/>
              <w:jc w:val="left"/>
              <w:rPr>
                <w:b/>
                <w:color w:val="000000" w:themeColor="text1"/>
                <w:szCs w:val="22"/>
              </w:rPr>
            </w:pPr>
            <w:r w:rsidRPr="001C04B8">
              <w:rPr>
                <w:b/>
                <w:color w:val="000000" w:themeColor="text1"/>
                <w:szCs w:val="22"/>
              </w:rPr>
              <w:t xml:space="preserve">Corespondență cu obiectivele unui articol din Titlul III al Reg. (UE) nr. 1305/2013 </w:t>
            </w:r>
          </w:p>
        </w:tc>
        <w:tc>
          <w:tcPr>
            <w:tcW w:w="3579" w:type="pct"/>
            <w:gridSpan w:val="2"/>
            <w:vAlign w:val="center"/>
          </w:tcPr>
          <w:p w:rsidR="00B53233" w:rsidRPr="001C04B8" w:rsidRDefault="00B53233" w:rsidP="006D50CA">
            <w:pPr>
              <w:pStyle w:val="CM1"/>
              <w:spacing w:line="276" w:lineRule="auto"/>
              <w:ind w:left="57"/>
              <w:jc w:val="both"/>
              <w:rPr>
                <w:rFonts w:ascii="Trebuchet MS" w:hAnsi="Trebuchet MS" w:cs="EUAlbertina"/>
                <w:color w:val="000000"/>
                <w:sz w:val="22"/>
                <w:szCs w:val="22"/>
              </w:rPr>
            </w:pPr>
            <w:r w:rsidRPr="001C04B8">
              <w:rPr>
                <w:rFonts w:ascii="Trebuchet MS" w:hAnsi="Trebuchet MS"/>
                <w:sz w:val="22"/>
                <w:szCs w:val="22"/>
              </w:rPr>
              <w:t>Art. 14 – Transferul de cunoștințe și acțiuni de informare</w:t>
            </w:r>
          </w:p>
        </w:tc>
      </w:tr>
      <w:tr w:rsidR="00B53233" w:rsidRPr="001C04B8" w:rsidTr="00B53233">
        <w:trPr>
          <w:trHeight w:val="440"/>
          <w:jc w:val="center"/>
        </w:trPr>
        <w:tc>
          <w:tcPr>
            <w:tcW w:w="1421" w:type="pct"/>
            <w:vAlign w:val="center"/>
          </w:tcPr>
          <w:p w:rsidR="00B53233" w:rsidRPr="001C04B8" w:rsidRDefault="00B53233" w:rsidP="00B53233">
            <w:pPr>
              <w:pStyle w:val="ListParagraph"/>
              <w:numPr>
                <w:ilvl w:val="0"/>
                <w:numId w:val="3"/>
              </w:numPr>
              <w:spacing w:line="276" w:lineRule="auto"/>
              <w:ind w:left="510" w:hanging="510"/>
              <w:jc w:val="left"/>
              <w:rPr>
                <w:b/>
                <w:color w:val="000000" w:themeColor="text1"/>
                <w:szCs w:val="22"/>
              </w:rPr>
            </w:pPr>
            <w:r w:rsidRPr="001C04B8">
              <w:rPr>
                <w:b/>
                <w:color w:val="000000" w:themeColor="text1"/>
                <w:szCs w:val="22"/>
              </w:rPr>
              <w:t>Contribuția la domeniile de intervenție prevăzute la art.5, Reg.(UE) nr.1305/2013</w:t>
            </w:r>
          </w:p>
        </w:tc>
        <w:tc>
          <w:tcPr>
            <w:tcW w:w="3579" w:type="pct"/>
            <w:gridSpan w:val="2"/>
            <w:vAlign w:val="center"/>
          </w:tcPr>
          <w:p w:rsidR="00B53233" w:rsidRPr="001C04B8" w:rsidRDefault="00B53233" w:rsidP="006D50CA">
            <w:pPr>
              <w:spacing w:line="276" w:lineRule="auto"/>
              <w:ind w:left="57"/>
              <w:rPr>
                <w:color w:val="000000" w:themeColor="text1"/>
                <w:szCs w:val="22"/>
              </w:rPr>
            </w:pPr>
            <w:r w:rsidRPr="001C04B8">
              <w:rPr>
                <w:color w:val="000000" w:themeColor="text1"/>
                <w:szCs w:val="22"/>
              </w:rPr>
              <w:t xml:space="preserve">(1C) Încurajarea învățării pe tot parcursul vieţii şi a formării profesionale în sectoarele agricol şi forestier </w:t>
            </w:r>
          </w:p>
        </w:tc>
      </w:tr>
      <w:tr w:rsidR="00B53233" w:rsidRPr="001C04B8" w:rsidTr="00B53233">
        <w:trPr>
          <w:trHeight w:val="530"/>
          <w:jc w:val="center"/>
        </w:trPr>
        <w:tc>
          <w:tcPr>
            <w:tcW w:w="1421" w:type="pct"/>
            <w:vAlign w:val="center"/>
          </w:tcPr>
          <w:p w:rsidR="00B53233" w:rsidRPr="001C04B8" w:rsidRDefault="00B53233" w:rsidP="00B53233">
            <w:pPr>
              <w:pStyle w:val="ListParagraph"/>
              <w:numPr>
                <w:ilvl w:val="0"/>
                <w:numId w:val="3"/>
              </w:numPr>
              <w:spacing w:line="276" w:lineRule="auto"/>
              <w:ind w:left="510" w:hanging="510"/>
              <w:jc w:val="left"/>
              <w:rPr>
                <w:b/>
                <w:color w:val="000000" w:themeColor="text1"/>
                <w:szCs w:val="22"/>
              </w:rPr>
            </w:pPr>
            <w:r w:rsidRPr="001C04B8">
              <w:rPr>
                <w:b/>
                <w:color w:val="000000" w:themeColor="text1"/>
                <w:szCs w:val="22"/>
              </w:rPr>
              <w:t xml:space="preserve">Contribuția la obiectivele transversale ale Reg.(UE) </w:t>
            </w:r>
            <w:r w:rsidRPr="001C04B8">
              <w:rPr>
                <w:b/>
                <w:color w:val="000000" w:themeColor="text1"/>
                <w:szCs w:val="22"/>
              </w:rPr>
              <w:lastRenderedPageBreak/>
              <w:t>1305/2013</w:t>
            </w:r>
          </w:p>
        </w:tc>
        <w:tc>
          <w:tcPr>
            <w:tcW w:w="3579" w:type="pct"/>
            <w:gridSpan w:val="2"/>
            <w:vAlign w:val="center"/>
          </w:tcPr>
          <w:p w:rsidR="00B53233" w:rsidRPr="001C04B8" w:rsidRDefault="00B53233" w:rsidP="006D50CA">
            <w:pPr>
              <w:spacing w:line="276" w:lineRule="auto"/>
              <w:ind w:left="57"/>
              <w:rPr>
                <w:szCs w:val="22"/>
              </w:rPr>
            </w:pPr>
            <w:r w:rsidRPr="001C04B8">
              <w:rPr>
                <w:color w:val="000000" w:themeColor="text1"/>
                <w:szCs w:val="22"/>
              </w:rPr>
              <w:lastRenderedPageBreak/>
              <w:t xml:space="preserve">Măsura poate să contribuie la toate obiectivele transversale ale Reg. (UE) </w:t>
            </w:r>
            <w:r w:rsidRPr="001C04B8">
              <w:rPr>
                <w:szCs w:val="22"/>
              </w:rPr>
              <w:t xml:space="preserve">1305/2013, respectiv </w:t>
            </w:r>
            <w:r w:rsidRPr="001C04B8">
              <w:rPr>
                <w:b/>
                <w:szCs w:val="22"/>
              </w:rPr>
              <w:t>climă, mediu și inovare</w:t>
            </w:r>
            <w:r w:rsidRPr="001C04B8">
              <w:rPr>
                <w:szCs w:val="22"/>
              </w:rPr>
              <w:t xml:space="preserve">. Prin această măsură se vor derula activități de conștientizare a participanților privind utilizate resurse regenerabile de </w:t>
            </w:r>
            <w:r w:rsidRPr="001C04B8">
              <w:rPr>
                <w:szCs w:val="22"/>
              </w:rPr>
              <w:lastRenderedPageBreak/>
              <w:t>producere a energiei, utilizarea combustibililor în mod responsabil și adaptarea la schimbările climatice.</w:t>
            </w:r>
          </w:p>
          <w:p w:rsidR="00B53233" w:rsidRPr="001C04B8" w:rsidRDefault="00B53233" w:rsidP="006D50CA">
            <w:pPr>
              <w:spacing w:line="276" w:lineRule="auto"/>
              <w:ind w:left="57"/>
              <w:rPr>
                <w:color w:val="000000" w:themeColor="text1"/>
                <w:szCs w:val="22"/>
              </w:rPr>
            </w:pPr>
            <w:r w:rsidRPr="001C04B8">
              <w:rPr>
                <w:szCs w:val="22"/>
              </w:rPr>
              <w:t xml:space="preserve">Măsura contribuie la inovare, prin activități de formare </w:t>
            </w:r>
            <w:r w:rsidRPr="001C04B8">
              <w:rPr>
                <w:color w:val="000000" w:themeColor="text1"/>
                <w:szCs w:val="22"/>
              </w:rPr>
              <w:t>și transfer de cunoștințe care încurajează fermierii și întreprinderile din teritoriu să adopte soluții inovatoare.</w:t>
            </w:r>
          </w:p>
          <w:p w:rsidR="00B53233" w:rsidRPr="001C04B8" w:rsidRDefault="00B53233" w:rsidP="006D50CA">
            <w:pPr>
              <w:spacing w:line="276" w:lineRule="auto"/>
              <w:ind w:left="57"/>
              <w:rPr>
                <w:color w:val="000000" w:themeColor="text1"/>
                <w:szCs w:val="22"/>
              </w:rPr>
            </w:pPr>
            <w:r w:rsidRPr="001C04B8">
              <w:rPr>
                <w:color w:val="000000" w:themeColor="text1"/>
                <w:szCs w:val="22"/>
              </w:rPr>
              <w:t xml:space="preserve">Prin expunerea la noi idei, metode şi principii, prin interacțiune şi învăţare, participanții devin mai bine pregătiți, mai receptivi la noi idei şi concepte şi mai înclinați să aplice tehnologii şi practici inovatoare în domeniul lor de activitate. </w:t>
            </w:r>
          </w:p>
        </w:tc>
      </w:tr>
      <w:tr w:rsidR="00B53233" w:rsidRPr="001C04B8" w:rsidTr="00B53233">
        <w:trPr>
          <w:trHeight w:val="440"/>
          <w:jc w:val="center"/>
        </w:trPr>
        <w:tc>
          <w:tcPr>
            <w:tcW w:w="1421" w:type="pct"/>
            <w:vAlign w:val="center"/>
          </w:tcPr>
          <w:p w:rsidR="00B53233" w:rsidRPr="001C04B8" w:rsidRDefault="00B53233" w:rsidP="00B53233">
            <w:pPr>
              <w:pStyle w:val="ListParagraph"/>
              <w:numPr>
                <w:ilvl w:val="0"/>
                <w:numId w:val="3"/>
              </w:numPr>
              <w:spacing w:line="276" w:lineRule="auto"/>
              <w:ind w:left="510" w:hanging="510"/>
              <w:jc w:val="left"/>
              <w:rPr>
                <w:b/>
                <w:color w:val="000000" w:themeColor="text1"/>
                <w:szCs w:val="22"/>
              </w:rPr>
            </w:pPr>
            <w:r w:rsidRPr="001C04B8">
              <w:rPr>
                <w:b/>
                <w:color w:val="000000" w:themeColor="text1"/>
                <w:szCs w:val="22"/>
              </w:rPr>
              <w:lastRenderedPageBreak/>
              <w:t>Complementaritate cu alte măsuri din SDL</w:t>
            </w:r>
          </w:p>
        </w:tc>
        <w:tc>
          <w:tcPr>
            <w:tcW w:w="3579" w:type="pct"/>
            <w:gridSpan w:val="2"/>
            <w:vAlign w:val="center"/>
          </w:tcPr>
          <w:p w:rsidR="00B53233" w:rsidRPr="001C04B8" w:rsidRDefault="00B53233" w:rsidP="006D50CA">
            <w:pPr>
              <w:spacing w:line="276" w:lineRule="auto"/>
              <w:ind w:left="57"/>
              <w:rPr>
                <w:szCs w:val="22"/>
              </w:rPr>
            </w:pPr>
            <w:r w:rsidRPr="001C04B8">
              <w:rPr>
                <w:szCs w:val="22"/>
              </w:rPr>
              <w:t>Măsura este complementară altor măsuri prin faptul că beneficiarii direcți/indirecți vizați prin aceasta sunt incluși în categoriile de beneficiari direcți/indirecți (grupurile țintă) ai următoarelor măsuri din SDL:</w:t>
            </w:r>
          </w:p>
          <w:p w:rsidR="00B53233" w:rsidRPr="001C04B8" w:rsidRDefault="00B53233" w:rsidP="00B53233">
            <w:pPr>
              <w:pStyle w:val="ListParagraph"/>
              <w:numPr>
                <w:ilvl w:val="0"/>
                <w:numId w:val="6"/>
              </w:numPr>
              <w:spacing w:line="276" w:lineRule="auto"/>
              <w:jc w:val="left"/>
              <w:rPr>
                <w:szCs w:val="22"/>
              </w:rPr>
            </w:pPr>
            <w:r w:rsidRPr="001C04B8">
              <w:rPr>
                <w:szCs w:val="22"/>
              </w:rPr>
              <w:t>M10/1A - Informare si activităţi demonstrative</w:t>
            </w:r>
          </w:p>
          <w:p w:rsidR="00B53233" w:rsidRPr="001C04B8" w:rsidRDefault="00B53233" w:rsidP="00B53233">
            <w:pPr>
              <w:pStyle w:val="ListParagraph"/>
              <w:numPr>
                <w:ilvl w:val="0"/>
                <w:numId w:val="6"/>
              </w:numPr>
              <w:spacing w:line="276" w:lineRule="auto"/>
              <w:jc w:val="left"/>
              <w:rPr>
                <w:szCs w:val="22"/>
              </w:rPr>
            </w:pPr>
            <w:r w:rsidRPr="001C04B8">
              <w:rPr>
                <w:szCs w:val="22"/>
              </w:rPr>
              <w:t>M7/2A - Investiţii în active fixe</w:t>
            </w:r>
          </w:p>
          <w:p w:rsidR="00B53233" w:rsidRPr="001C04B8" w:rsidRDefault="00B53233" w:rsidP="00B53233">
            <w:pPr>
              <w:pStyle w:val="ListParagraph"/>
              <w:numPr>
                <w:ilvl w:val="0"/>
                <w:numId w:val="6"/>
              </w:numPr>
              <w:spacing w:line="276" w:lineRule="auto"/>
              <w:jc w:val="left"/>
              <w:rPr>
                <w:szCs w:val="22"/>
              </w:rPr>
            </w:pPr>
            <w:r w:rsidRPr="001C04B8">
              <w:rPr>
                <w:szCs w:val="22"/>
              </w:rPr>
              <w:t>M6/2B - Instalarea tinerilor fermieri</w:t>
            </w:r>
          </w:p>
          <w:p w:rsidR="00B53233" w:rsidRPr="001C04B8" w:rsidRDefault="00B53233" w:rsidP="00B53233">
            <w:pPr>
              <w:pStyle w:val="ListParagraph"/>
              <w:numPr>
                <w:ilvl w:val="0"/>
                <w:numId w:val="6"/>
              </w:numPr>
              <w:spacing w:line="276" w:lineRule="auto"/>
              <w:jc w:val="left"/>
              <w:rPr>
                <w:szCs w:val="22"/>
              </w:rPr>
            </w:pPr>
            <w:r w:rsidRPr="001C04B8">
              <w:rPr>
                <w:szCs w:val="22"/>
              </w:rPr>
              <w:t>M8/3A - Sprijin pentru înfiinţarea si dezvoltarea structurilor asociative</w:t>
            </w:r>
          </w:p>
          <w:p w:rsidR="00B53233" w:rsidRPr="001C04B8" w:rsidRDefault="00B53233" w:rsidP="00B53233">
            <w:pPr>
              <w:pStyle w:val="ListParagraph"/>
              <w:numPr>
                <w:ilvl w:val="0"/>
                <w:numId w:val="6"/>
              </w:numPr>
              <w:spacing w:line="276" w:lineRule="auto"/>
              <w:jc w:val="left"/>
              <w:rPr>
                <w:szCs w:val="22"/>
              </w:rPr>
            </w:pPr>
            <w:r w:rsidRPr="001C04B8">
              <w:rPr>
                <w:szCs w:val="22"/>
              </w:rPr>
              <w:t>M4/6A - Înfiinţarea activităţilor neagricole</w:t>
            </w:r>
          </w:p>
          <w:p w:rsidR="00B53233" w:rsidRPr="001C04B8" w:rsidRDefault="00B53233" w:rsidP="00B53233">
            <w:pPr>
              <w:pStyle w:val="ListParagraph"/>
              <w:numPr>
                <w:ilvl w:val="0"/>
                <w:numId w:val="6"/>
              </w:numPr>
              <w:spacing w:line="276" w:lineRule="auto"/>
              <w:jc w:val="left"/>
              <w:rPr>
                <w:szCs w:val="22"/>
              </w:rPr>
            </w:pPr>
            <w:r w:rsidRPr="001C04B8">
              <w:rPr>
                <w:szCs w:val="22"/>
              </w:rPr>
              <w:t>M5/6A - Dezvoltarea activităţilor neagricole</w:t>
            </w:r>
          </w:p>
        </w:tc>
      </w:tr>
      <w:tr w:rsidR="00B53233" w:rsidRPr="001C04B8" w:rsidTr="00B53233">
        <w:trPr>
          <w:trHeight w:val="971"/>
          <w:jc w:val="center"/>
        </w:trPr>
        <w:tc>
          <w:tcPr>
            <w:tcW w:w="1421" w:type="pct"/>
            <w:vAlign w:val="center"/>
          </w:tcPr>
          <w:p w:rsidR="00B53233" w:rsidRPr="001C04B8" w:rsidRDefault="00B53233" w:rsidP="00B53233">
            <w:pPr>
              <w:pStyle w:val="ListParagraph"/>
              <w:numPr>
                <w:ilvl w:val="0"/>
                <w:numId w:val="3"/>
              </w:numPr>
              <w:spacing w:line="276" w:lineRule="auto"/>
              <w:ind w:left="624" w:hanging="624"/>
              <w:jc w:val="left"/>
              <w:rPr>
                <w:b/>
                <w:color w:val="000000" w:themeColor="text1"/>
                <w:szCs w:val="22"/>
              </w:rPr>
            </w:pPr>
            <w:r w:rsidRPr="001C04B8">
              <w:rPr>
                <w:b/>
                <w:color w:val="000000" w:themeColor="text1"/>
                <w:szCs w:val="22"/>
              </w:rPr>
              <w:t>Sinergia cu alte măsuri din SDL</w:t>
            </w:r>
          </w:p>
        </w:tc>
        <w:tc>
          <w:tcPr>
            <w:tcW w:w="3579" w:type="pct"/>
            <w:gridSpan w:val="2"/>
            <w:vAlign w:val="center"/>
          </w:tcPr>
          <w:p w:rsidR="00B53233" w:rsidRPr="001C04B8" w:rsidRDefault="00B53233" w:rsidP="006D50CA">
            <w:pPr>
              <w:spacing w:line="276" w:lineRule="auto"/>
              <w:ind w:left="57"/>
              <w:rPr>
                <w:szCs w:val="22"/>
              </w:rPr>
            </w:pPr>
            <w:r w:rsidRPr="001C04B8">
              <w:rPr>
                <w:szCs w:val="22"/>
              </w:rPr>
              <w:t>Măsura creează sinergie cu următoarea măsură din SDL, prin contribuția fiecăreia la realizarea priorității 1:</w:t>
            </w:r>
          </w:p>
          <w:p w:rsidR="00B53233" w:rsidRPr="001C04B8" w:rsidRDefault="00B53233" w:rsidP="00B53233">
            <w:pPr>
              <w:pStyle w:val="ListParagraph"/>
              <w:numPr>
                <w:ilvl w:val="0"/>
                <w:numId w:val="7"/>
              </w:numPr>
              <w:spacing w:line="276" w:lineRule="auto"/>
              <w:jc w:val="left"/>
              <w:rPr>
                <w:szCs w:val="22"/>
              </w:rPr>
            </w:pPr>
            <w:r w:rsidRPr="001C04B8">
              <w:rPr>
                <w:szCs w:val="22"/>
              </w:rPr>
              <w:t>M10/1A - Informare si activităţi demonstrative</w:t>
            </w:r>
          </w:p>
        </w:tc>
      </w:tr>
      <w:tr w:rsidR="00B53233" w:rsidRPr="001C04B8" w:rsidTr="006D50CA">
        <w:trPr>
          <w:trHeight w:val="567"/>
          <w:jc w:val="center"/>
        </w:trPr>
        <w:tc>
          <w:tcPr>
            <w:tcW w:w="5000" w:type="pct"/>
            <w:gridSpan w:val="3"/>
            <w:vAlign w:val="center"/>
          </w:tcPr>
          <w:p w:rsidR="00B53233" w:rsidRPr="001C04B8" w:rsidRDefault="00B53233" w:rsidP="00B53233">
            <w:pPr>
              <w:pStyle w:val="ListParagraph"/>
              <w:numPr>
                <w:ilvl w:val="0"/>
                <w:numId w:val="8"/>
              </w:numPr>
              <w:spacing w:line="276" w:lineRule="auto"/>
              <w:jc w:val="left"/>
              <w:rPr>
                <w:b/>
                <w:color w:val="000000" w:themeColor="text1"/>
                <w:szCs w:val="22"/>
              </w:rPr>
            </w:pPr>
            <w:r w:rsidRPr="001C04B8">
              <w:rPr>
                <w:b/>
                <w:color w:val="000000" w:themeColor="text1"/>
                <w:szCs w:val="22"/>
              </w:rPr>
              <w:t>Valoarea adăugată a măsurii</w:t>
            </w:r>
          </w:p>
        </w:tc>
      </w:tr>
      <w:tr w:rsidR="00B53233" w:rsidRPr="001C04B8" w:rsidTr="006D50CA">
        <w:trPr>
          <w:trHeight w:val="260"/>
          <w:jc w:val="center"/>
        </w:trPr>
        <w:tc>
          <w:tcPr>
            <w:tcW w:w="5000" w:type="pct"/>
            <w:gridSpan w:val="3"/>
            <w:vAlign w:val="center"/>
          </w:tcPr>
          <w:p w:rsidR="00B53233" w:rsidRPr="001C04B8" w:rsidRDefault="00B53233" w:rsidP="00B53233">
            <w:pPr>
              <w:pStyle w:val="ListParagraph"/>
              <w:numPr>
                <w:ilvl w:val="0"/>
                <w:numId w:val="4"/>
              </w:numPr>
              <w:tabs>
                <w:tab w:val="left" w:pos="446"/>
              </w:tabs>
              <w:autoSpaceDE w:val="0"/>
              <w:autoSpaceDN w:val="0"/>
              <w:adjustRightInd w:val="0"/>
              <w:spacing w:line="276" w:lineRule="auto"/>
              <w:ind w:left="227" w:hanging="227"/>
              <w:rPr>
                <w:rFonts w:cs="Arial"/>
                <w:color w:val="000000" w:themeColor="text1"/>
                <w:szCs w:val="22"/>
              </w:rPr>
            </w:pPr>
            <w:r w:rsidRPr="001C04B8">
              <w:rPr>
                <w:rFonts w:cs="Arial"/>
                <w:color w:val="000000" w:themeColor="text1"/>
                <w:szCs w:val="22"/>
              </w:rPr>
              <w:t xml:space="preserve">Creșterea viabilității fermelor prin dobândirea de informaţii şi cunoştinţe relevante care să permită gospodărirea şi gestionarea durabilă a terenurilor agricole, stimularea agriculturii ecologice din teritoriu de către cei implicaţi. </w:t>
            </w:r>
          </w:p>
          <w:p w:rsidR="00B53233" w:rsidRPr="001C04B8" w:rsidRDefault="00B53233" w:rsidP="00B53233">
            <w:pPr>
              <w:pStyle w:val="ListParagraph"/>
              <w:numPr>
                <w:ilvl w:val="0"/>
                <w:numId w:val="4"/>
              </w:numPr>
              <w:tabs>
                <w:tab w:val="left" w:pos="446"/>
              </w:tabs>
              <w:autoSpaceDE w:val="0"/>
              <w:autoSpaceDN w:val="0"/>
              <w:adjustRightInd w:val="0"/>
              <w:spacing w:line="276" w:lineRule="auto"/>
              <w:ind w:left="227" w:hanging="227"/>
              <w:rPr>
                <w:rFonts w:cs="Arial"/>
                <w:color w:val="000000" w:themeColor="text1"/>
                <w:szCs w:val="22"/>
              </w:rPr>
            </w:pPr>
            <w:r w:rsidRPr="001C04B8">
              <w:rPr>
                <w:rFonts w:cs="Arial"/>
                <w:color w:val="000000" w:themeColor="text1"/>
                <w:szCs w:val="22"/>
              </w:rPr>
              <w:t>Îmbunătăţirea competitivităţii sectoarelor agricol şi alimentar, utilizarea durabilă a terenurilor agricole, dezvoltarea resurselor umane prin programe educaţional.</w:t>
            </w:r>
          </w:p>
          <w:p w:rsidR="00B53233" w:rsidRPr="001C04B8" w:rsidRDefault="00B53233" w:rsidP="00B53233">
            <w:pPr>
              <w:pStyle w:val="ListParagraph"/>
              <w:numPr>
                <w:ilvl w:val="0"/>
                <w:numId w:val="4"/>
              </w:numPr>
              <w:tabs>
                <w:tab w:val="left" w:pos="446"/>
              </w:tabs>
              <w:autoSpaceDE w:val="0"/>
              <w:autoSpaceDN w:val="0"/>
              <w:adjustRightInd w:val="0"/>
              <w:spacing w:line="276" w:lineRule="auto"/>
              <w:ind w:left="227" w:hanging="227"/>
              <w:rPr>
                <w:rFonts w:cs="Arial"/>
                <w:color w:val="000000" w:themeColor="text1"/>
                <w:szCs w:val="22"/>
              </w:rPr>
            </w:pPr>
            <w:r w:rsidRPr="001C04B8">
              <w:rPr>
                <w:rFonts w:cs="Arial"/>
                <w:color w:val="000000" w:themeColor="text1"/>
                <w:szCs w:val="22"/>
              </w:rPr>
              <w:t>Promovarea agriculturii ecologice prin acţiuni de formare, informare şi difuzare de cunoştinţe inovative adresate persoanelor adulte care activează în sectoarele menţionate.</w:t>
            </w:r>
          </w:p>
          <w:p w:rsidR="00B53233" w:rsidRPr="001C04B8" w:rsidRDefault="00B53233" w:rsidP="00B53233">
            <w:pPr>
              <w:pStyle w:val="ListParagraph"/>
              <w:numPr>
                <w:ilvl w:val="0"/>
                <w:numId w:val="4"/>
              </w:numPr>
              <w:tabs>
                <w:tab w:val="left" w:pos="446"/>
              </w:tabs>
              <w:autoSpaceDE w:val="0"/>
              <w:autoSpaceDN w:val="0"/>
              <w:adjustRightInd w:val="0"/>
              <w:spacing w:line="276" w:lineRule="auto"/>
              <w:ind w:left="227" w:hanging="227"/>
              <w:rPr>
                <w:rFonts w:cs="Arial"/>
                <w:color w:val="000000" w:themeColor="text1"/>
                <w:szCs w:val="22"/>
              </w:rPr>
            </w:pPr>
            <w:r w:rsidRPr="001C04B8">
              <w:rPr>
                <w:rFonts w:cs="Arial"/>
                <w:color w:val="000000" w:themeColor="text1"/>
                <w:szCs w:val="22"/>
              </w:rPr>
              <w:t>Creşterea calităţii managementului la nivel de ferme şi asociaţii</w:t>
            </w:r>
          </w:p>
          <w:p w:rsidR="00B53233" w:rsidRPr="001C04B8" w:rsidRDefault="00B53233" w:rsidP="00B53233">
            <w:pPr>
              <w:pStyle w:val="ListParagraph"/>
              <w:numPr>
                <w:ilvl w:val="0"/>
                <w:numId w:val="4"/>
              </w:numPr>
              <w:tabs>
                <w:tab w:val="left" w:pos="446"/>
              </w:tabs>
              <w:autoSpaceDE w:val="0"/>
              <w:autoSpaceDN w:val="0"/>
              <w:adjustRightInd w:val="0"/>
              <w:spacing w:line="276" w:lineRule="auto"/>
              <w:ind w:left="227" w:hanging="227"/>
              <w:rPr>
                <w:rFonts w:cs="Arial"/>
                <w:color w:val="000000" w:themeColor="text1"/>
                <w:szCs w:val="22"/>
              </w:rPr>
            </w:pPr>
            <w:r w:rsidRPr="001C04B8">
              <w:rPr>
                <w:rFonts w:cs="Arial"/>
                <w:color w:val="000000" w:themeColor="text1"/>
                <w:szCs w:val="22"/>
              </w:rPr>
              <w:t xml:space="preserve">Cunoştinţe şi informaţii noi referitoare la procesarea şi comercializarea produselor agricole în mediul rural </w:t>
            </w:r>
          </w:p>
          <w:p w:rsidR="00B53233" w:rsidRPr="001C04B8" w:rsidRDefault="00B53233" w:rsidP="00B53233">
            <w:pPr>
              <w:pStyle w:val="ListParagraph"/>
              <w:numPr>
                <w:ilvl w:val="0"/>
                <w:numId w:val="4"/>
              </w:numPr>
              <w:tabs>
                <w:tab w:val="left" w:pos="446"/>
              </w:tabs>
              <w:autoSpaceDE w:val="0"/>
              <w:autoSpaceDN w:val="0"/>
              <w:adjustRightInd w:val="0"/>
              <w:spacing w:line="276" w:lineRule="auto"/>
              <w:ind w:left="227" w:hanging="227"/>
              <w:rPr>
                <w:rFonts w:cs="Arial"/>
                <w:color w:val="000000" w:themeColor="text1"/>
                <w:szCs w:val="22"/>
              </w:rPr>
            </w:pPr>
            <w:r w:rsidRPr="001C04B8">
              <w:rPr>
                <w:rFonts w:cs="Arial"/>
                <w:color w:val="000000" w:themeColor="text1"/>
                <w:szCs w:val="22"/>
              </w:rPr>
              <w:t xml:space="preserve">Susținerea unei dezvoltări participative a structurii asociative, ce se va concentra pe asigurarea viabilității economice a acesteia în contextul asigurării funcțiilor necesare pentru membri (producție, depozitare, procesare, desfacere etc.) </w:t>
            </w:r>
          </w:p>
          <w:p w:rsidR="00B53233" w:rsidRPr="001C04B8" w:rsidRDefault="00B53233" w:rsidP="00B53233">
            <w:pPr>
              <w:pStyle w:val="ListParagraph"/>
              <w:numPr>
                <w:ilvl w:val="0"/>
                <w:numId w:val="4"/>
              </w:numPr>
              <w:tabs>
                <w:tab w:val="left" w:pos="446"/>
              </w:tabs>
              <w:autoSpaceDE w:val="0"/>
              <w:autoSpaceDN w:val="0"/>
              <w:adjustRightInd w:val="0"/>
              <w:spacing w:line="276" w:lineRule="auto"/>
              <w:ind w:left="227" w:hanging="227"/>
              <w:rPr>
                <w:rFonts w:cs="Arial"/>
                <w:color w:val="000000" w:themeColor="text1"/>
                <w:szCs w:val="22"/>
              </w:rPr>
            </w:pPr>
            <w:r w:rsidRPr="001C04B8">
              <w:rPr>
                <w:rFonts w:cs="Arial"/>
                <w:color w:val="000000" w:themeColor="text1"/>
                <w:szCs w:val="22"/>
              </w:rPr>
              <w:t>Accesul pe piață a agricultorilor mici și mijlocii</w:t>
            </w:r>
          </w:p>
          <w:p w:rsidR="00B53233" w:rsidRPr="001C04B8" w:rsidRDefault="00B53233" w:rsidP="00B53233">
            <w:pPr>
              <w:pStyle w:val="ListParagraph"/>
              <w:numPr>
                <w:ilvl w:val="0"/>
                <w:numId w:val="4"/>
              </w:numPr>
              <w:tabs>
                <w:tab w:val="left" w:pos="446"/>
              </w:tabs>
              <w:autoSpaceDE w:val="0"/>
              <w:autoSpaceDN w:val="0"/>
              <w:adjustRightInd w:val="0"/>
              <w:spacing w:line="276" w:lineRule="auto"/>
              <w:ind w:left="227" w:hanging="227"/>
              <w:rPr>
                <w:rFonts w:cs="Arial"/>
                <w:szCs w:val="22"/>
              </w:rPr>
            </w:pPr>
            <w:r w:rsidRPr="001C04B8">
              <w:rPr>
                <w:rFonts w:cs="Arial"/>
                <w:szCs w:val="22"/>
              </w:rPr>
              <w:t>Îmbunătățirea condițiilor de viață şi reducerea șomajului în teritoriu.</w:t>
            </w:r>
          </w:p>
          <w:p w:rsidR="00B53233" w:rsidRPr="001C04B8" w:rsidRDefault="00B53233" w:rsidP="00B53233">
            <w:pPr>
              <w:pStyle w:val="ListParagraph"/>
              <w:numPr>
                <w:ilvl w:val="0"/>
                <w:numId w:val="4"/>
              </w:numPr>
              <w:tabs>
                <w:tab w:val="left" w:pos="446"/>
              </w:tabs>
              <w:autoSpaceDE w:val="0"/>
              <w:autoSpaceDN w:val="0"/>
              <w:adjustRightInd w:val="0"/>
              <w:spacing w:line="276" w:lineRule="auto"/>
              <w:ind w:left="227" w:hanging="227"/>
              <w:rPr>
                <w:rFonts w:cs="Arial"/>
                <w:color w:val="000000" w:themeColor="text1"/>
                <w:szCs w:val="22"/>
              </w:rPr>
            </w:pPr>
            <w:r w:rsidRPr="001C04B8">
              <w:rPr>
                <w:rFonts w:cs="Arial"/>
                <w:szCs w:val="22"/>
              </w:rPr>
              <w:t>Conștientizarea cu privire la protecția mediului și schimbări climatice, prin prioritizarea proiectelor care cuprind astfel de tematici.</w:t>
            </w:r>
          </w:p>
        </w:tc>
      </w:tr>
      <w:tr w:rsidR="00B53233" w:rsidRPr="001C04B8" w:rsidTr="006D50CA">
        <w:trPr>
          <w:trHeight w:val="567"/>
          <w:jc w:val="center"/>
        </w:trPr>
        <w:tc>
          <w:tcPr>
            <w:tcW w:w="5000" w:type="pct"/>
            <w:gridSpan w:val="3"/>
            <w:vAlign w:val="center"/>
          </w:tcPr>
          <w:p w:rsidR="00B53233" w:rsidRPr="001C04B8" w:rsidRDefault="00B53233" w:rsidP="00B53233">
            <w:pPr>
              <w:pStyle w:val="ListParagraph"/>
              <w:numPr>
                <w:ilvl w:val="0"/>
                <w:numId w:val="8"/>
              </w:numPr>
              <w:spacing w:line="276" w:lineRule="auto"/>
              <w:ind w:left="357" w:hanging="357"/>
              <w:rPr>
                <w:b/>
                <w:color w:val="000000" w:themeColor="text1"/>
                <w:szCs w:val="22"/>
              </w:rPr>
            </w:pPr>
            <w:r w:rsidRPr="001C04B8">
              <w:rPr>
                <w:b/>
                <w:color w:val="000000" w:themeColor="text1"/>
                <w:szCs w:val="22"/>
              </w:rPr>
              <w:t>Trimiteri la alte acte legislative</w:t>
            </w:r>
          </w:p>
        </w:tc>
      </w:tr>
      <w:tr w:rsidR="00B53233" w:rsidRPr="001C04B8" w:rsidTr="006D50CA">
        <w:trPr>
          <w:trHeight w:val="511"/>
          <w:jc w:val="center"/>
        </w:trPr>
        <w:tc>
          <w:tcPr>
            <w:tcW w:w="5000" w:type="pct"/>
            <w:gridSpan w:val="3"/>
            <w:vAlign w:val="center"/>
          </w:tcPr>
          <w:p w:rsidR="00B53233" w:rsidRPr="001C04B8" w:rsidRDefault="00B53233" w:rsidP="00B53233">
            <w:pPr>
              <w:pStyle w:val="ListParagraph"/>
              <w:numPr>
                <w:ilvl w:val="0"/>
                <w:numId w:val="4"/>
              </w:numPr>
              <w:tabs>
                <w:tab w:val="left" w:pos="446"/>
              </w:tabs>
              <w:autoSpaceDE w:val="0"/>
              <w:autoSpaceDN w:val="0"/>
              <w:adjustRightInd w:val="0"/>
              <w:spacing w:line="276" w:lineRule="auto"/>
              <w:ind w:left="227" w:hanging="227"/>
              <w:rPr>
                <w:rFonts w:cs="Arial"/>
                <w:color w:val="000000" w:themeColor="text1"/>
                <w:szCs w:val="22"/>
              </w:rPr>
            </w:pPr>
            <w:r w:rsidRPr="001C04B8">
              <w:rPr>
                <w:rFonts w:cs="Arial"/>
                <w:color w:val="000000" w:themeColor="text1"/>
                <w:szCs w:val="22"/>
              </w:rPr>
              <w:lastRenderedPageBreak/>
              <w:t>Reg.(UE)1303/2013, Reg.(UE)1305/2013, Reg.(UE)nr.807/2014, Reg. de implementare (UE)808/2014, Reg.(UE)1336/2013 de modificare a Directivelor 2004/17/CE, 2004/18/CE și 2009/81/CE ale Parlamentului European și ale Consiliului în ceea ce privește pragurile de aplicare pentru procedurile de atribuire a contractelor de achiziții</w:t>
            </w:r>
          </w:p>
          <w:p w:rsidR="00B53233" w:rsidRPr="001C04B8" w:rsidRDefault="00B53233" w:rsidP="00B53233">
            <w:pPr>
              <w:pStyle w:val="ListParagraph"/>
              <w:numPr>
                <w:ilvl w:val="0"/>
                <w:numId w:val="4"/>
              </w:numPr>
              <w:tabs>
                <w:tab w:val="left" w:pos="446"/>
              </w:tabs>
              <w:autoSpaceDE w:val="0"/>
              <w:autoSpaceDN w:val="0"/>
              <w:adjustRightInd w:val="0"/>
              <w:spacing w:line="276" w:lineRule="auto"/>
              <w:ind w:left="227" w:hanging="227"/>
              <w:rPr>
                <w:rFonts w:cs="Arial"/>
                <w:color w:val="000000" w:themeColor="text1"/>
                <w:szCs w:val="22"/>
              </w:rPr>
            </w:pPr>
            <w:r w:rsidRPr="001C04B8">
              <w:rPr>
                <w:rFonts w:cs="Arial"/>
                <w:color w:val="000000" w:themeColor="text1"/>
                <w:szCs w:val="22"/>
              </w:rPr>
              <w:t>OUG  Nr.34/2006 privind atribuirea contractelor de achiziţie publică, a contractelor de concesiune de lucrări publice şi a contractelor de concesiune de servicii cu modificările și completările ulterioare; HG Nr.925/2006 pentru aprobarea normelor de aplicare a prevederilor referitoare la atribuirea contractelor de achiziţie publică din OUG nr.34/2006 privind atribuirea contractelor de achiziţie publică, a contractelor de concesiune de lucrări publice şi a contractelor de concesiune de servicii</w:t>
            </w:r>
          </w:p>
          <w:p w:rsidR="00B53233" w:rsidRPr="001C04B8" w:rsidRDefault="00B53233" w:rsidP="00B53233">
            <w:pPr>
              <w:pStyle w:val="ListParagraph"/>
              <w:numPr>
                <w:ilvl w:val="0"/>
                <w:numId w:val="4"/>
              </w:numPr>
              <w:tabs>
                <w:tab w:val="left" w:pos="446"/>
              </w:tabs>
              <w:autoSpaceDE w:val="0"/>
              <w:autoSpaceDN w:val="0"/>
              <w:adjustRightInd w:val="0"/>
              <w:spacing w:line="276" w:lineRule="auto"/>
              <w:ind w:left="227" w:hanging="227"/>
              <w:rPr>
                <w:rFonts w:cs="Arial"/>
                <w:color w:val="000000" w:themeColor="text1"/>
                <w:szCs w:val="22"/>
              </w:rPr>
            </w:pPr>
            <w:r w:rsidRPr="001C04B8">
              <w:rPr>
                <w:rFonts w:cs="Arial"/>
                <w:color w:val="000000" w:themeColor="text1"/>
                <w:szCs w:val="22"/>
              </w:rPr>
              <w:t>Legea Nr.31/1990 privind societăţile comerciale cu modificările și completările ulterioare</w:t>
            </w:r>
          </w:p>
          <w:p w:rsidR="00B53233" w:rsidRPr="001C04B8" w:rsidRDefault="00B53233" w:rsidP="00B53233">
            <w:pPr>
              <w:pStyle w:val="ListParagraph"/>
              <w:numPr>
                <w:ilvl w:val="0"/>
                <w:numId w:val="4"/>
              </w:numPr>
              <w:tabs>
                <w:tab w:val="left" w:pos="446"/>
              </w:tabs>
              <w:autoSpaceDE w:val="0"/>
              <w:autoSpaceDN w:val="0"/>
              <w:adjustRightInd w:val="0"/>
              <w:spacing w:line="276" w:lineRule="auto"/>
              <w:ind w:left="227" w:hanging="227"/>
              <w:rPr>
                <w:rFonts w:cs="Arial"/>
                <w:color w:val="000000" w:themeColor="text1"/>
                <w:szCs w:val="22"/>
              </w:rPr>
            </w:pPr>
            <w:r w:rsidRPr="001C04B8">
              <w:rPr>
                <w:rFonts w:cs="Arial"/>
                <w:color w:val="000000" w:themeColor="text1"/>
                <w:szCs w:val="22"/>
              </w:rPr>
              <w:t>Ordonanța de Guvern Nr.26/2000 cu privire la asociații și fundații modificările și completările ulterioare</w:t>
            </w:r>
          </w:p>
          <w:p w:rsidR="00B53233" w:rsidRPr="001C04B8" w:rsidRDefault="00B53233" w:rsidP="00B53233">
            <w:pPr>
              <w:pStyle w:val="ListParagraph"/>
              <w:numPr>
                <w:ilvl w:val="0"/>
                <w:numId w:val="4"/>
              </w:numPr>
              <w:tabs>
                <w:tab w:val="left" w:pos="446"/>
              </w:tabs>
              <w:autoSpaceDE w:val="0"/>
              <w:autoSpaceDN w:val="0"/>
              <w:adjustRightInd w:val="0"/>
              <w:spacing w:line="276" w:lineRule="auto"/>
              <w:ind w:left="227" w:hanging="227"/>
              <w:rPr>
                <w:rFonts w:cs="Arial"/>
                <w:color w:val="000000" w:themeColor="text1"/>
                <w:szCs w:val="22"/>
              </w:rPr>
            </w:pPr>
            <w:r w:rsidRPr="001C04B8">
              <w:rPr>
                <w:rFonts w:cs="Arial"/>
                <w:color w:val="000000" w:themeColor="text1"/>
                <w:szCs w:val="22"/>
              </w:rPr>
              <w:t>OUG Nr.44/2008 privind desfăşurarea activităţilor economice de către persoanele fizice autorizate, întreprinderile individuale şi întreprinderile familiale modificările și completările ulterioare</w:t>
            </w:r>
          </w:p>
          <w:p w:rsidR="00B53233" w:rsidRPr="001C04B8" w:rsidRDefault="00B53233" w:rsidP="00B53233">
            <w:pPr>
              <w:pStyle w:val="ListParagraph"/>
              <w:numPr>
                <w:ilvl w:val="0"/>
                <w:numId w:val="4"/>
              </w:numPr>
              <w:tabs>
                <w:tab w:val="left" w:pos="446"/>
              </w:tabs>
              <w:autoSpaceDE w:val="0"/>
              <w:autoSpaceDN w:val="0"/>
              <w:adjustRightInd w:val="0"/>
              <w:spacing w:line="276" w:lineRule="auto"/>
              <w:ind w:left="227" w:hanging="227"/>
              <w:rPr>
                <w:rFonts w:cs="Arial"/>
                <w:color w:val="000000" w:themeColor="text1"/>
                <w:szCs w:val="22"/>
              </w:rPr>
            </w:pPr>
            <w:r w:rsidRPr="001C04B8">
              <w:rPr>
                <w:rFonts w:cs="Arial"/>
                <w:color w:val="000000" w:themeColor="text1"/>
                <w:szCs w:val="22"/>
              </w:rPr>
              <w:t>Legea Nr.1/2011 a educaţiei naţionale modificările și completările ulterioare</w:t>
            </w:r>
          </w:p>
          <w:p w:rsidR="00B53233" w:rsidRPr="001C04B8" w:rsidRDefault="00B53233" w:rsidP="00B53233">
            <w:pPr>
              <w:pStyle w:val="ListParagraph"/>
              <w:numPr>
                <w:ilvl w:val="0"/>
                <w:numId w:val="4"/>
              </w:numPr>
              <w:tabs>
                <w:tab w:val="left" w:pos="446"/>
              </w:tabs>
              <w:autoSpaceDE w:val="0"/>
              <w:autoSpaceDN w:val="0"/>
              <w:adjustRightInd w:val="0"/>
              <w:spacing w:line="276" w:lineRule="auto"/>
              <w:ind w:left="227" w:hanging="227"/>
              <w:rPr>
                <w:rFonts w:cs="Arial"/>
                <w:color w:val="000000" w:themeColor="text1"/>
                <w:szCs w:val="22"/>
              </w:rPr>
            </w:pPr>
            <w:r w:rsidRPr="001C04B8">
              <w:rPr>
                <w:rFonts w:cs="Arial"/>
                <w:color w:val="000000" w:themeColor="text1"/>
                <w:szCs w:val="22"/>
              </w:rPr>
              <w:t xml:space="preserve">Ordonanţa de Guvern (OG) Nr.8 din 23 ianuarie 2013 pentru modificarea şi completarea Legii nr.571/2003 privind Codul fiscal şi reglementarea unor măsuri financiar-fiscale </w:t>
            </w:r>
          </w:p>
          <w:p w:rsidR="00B53233" w:rsidRPr="001C04B8" w:rsidRDefault="00B53233" w:rsidP="00B53233">
            <w:pPr>
              <w:pStyle w:val="ListParagraph"/>
              <w:numPr>
                <w:ilvl w:val="0"/>
                <w:numId w:val="4"/>
              </w:numPr>
              <w:tabs>
                <w:tab w:val="left" w:pos="446"/>
              </w:tabs>
              <w:autoSpaceDE w:val="0"/>
              <w:autoSpaceDN w:val="0"/>
              <w:adjustRightInd w:val="0"/>
              <w:spacing w:line="276" w:lineRule="auto"/>
              <w:ind w:left="227" w:hanging="227"/>
              <w:rPr>
                <w:rFonts w:cs="Arial"/>
                <w:color w:val="000000" w:themeColor="text1"/>
                <w:szCs w:val="22"/>
              </w:rPr>
            </w:pPr>
            <w:r w:rsidRPr="001C04B8">
              <w:rPr>
                <w:rFonts w:cs="Arial"/>
                <w:color w:val="000000" w:themeColor="text1"/>
                <w:szCs w:val="22"/>
              </w:rPr>
              <w:t>Alte acte normative aplicabile în domeniul fiscal</w:t>
            </w:r>
          </w:p>
        </w:tc>
      </w:tr>
      <w:tr w:rsidR="00B53233" w:rsidRPr="001C04B8" w:rsidTr="006D50CA">
        <w:trPr>
          <w:trHeight w:val="338"/>
          <w:jc w:val="center"/>
        </w:trPr>
        <w:tc>
          <w:tcPr>
            <w:tcW w:w="5000" w:type="pct"/>
            <w:gridSpan w:val="3"/>
            <w:vAlign w:val="center"/>
          </w:tcPr>
          <w:p w:rsidR="00B53233" w:rsidRPr="001C04B8" w:rsidRDefault="00B53233" w:rsidP="00B53233">
            <w:pPr>
              <w:pStyle w:val="ListParagraph"/>
              <w:numPr>
                <w:ilvl w:val="0"/>
                <w:numId w:val="8"/>
              </w:numPr>
              <w:spacing w:line="276" w:lineRule="auto"/>
              <w:rPr>
                <w:b/>
                <w:color w:val="000000" w:themeColor="text1"/>
                <w:szCs w:val="22"/>
              </w:rPr>
            </w:pPr>
            <w:r w:rsidRPr="001C04B8">
              <w:rPr>
                <w:b/>
                <w:color w:val="000000" w:themeColor="text1"/>
                <w:szCs w:val="22"/>
              </w:rPr>
              <w:t>Beneficiari direcți/indirecți (grup țintă)</w:t>
            </w:r>
          </w:p>
        </w:tc>
      </w:tr>
      <w:tr w:rsidR="00B53233" w:rsidRPr="001C04B8" w:rsidTr="00B53233">
        <w:trPr>
          <w:trHeight w:val="962"/>
          <w:jc w:val="center"/>
        </w:trPr>
        <w:tc>
          <w:tcPr>
            <w:tcW w:w="1421" w:type="pct"/>
            <w:vAlign w:val="center"/>
          </w:tcPr>
          <w:p w:rsidR="00B53233" w:rsidRPr="001C04B8" w:rsidRDefault="00B53233" w:rsidP="00B53233">
            <w:pPr>
              <w:pStyle w:val="ListParagraph"/>
              <w:numPr>
                <w:ilvl w:val="0"/>
                <w:numId w:val="2"/>
              </w:numPr>
              <w:spacing w:line="276" w:lineRule="auto"/>
              <w:ind w:left="510" w:hanging="510"/>
              <w:jc w:val="center"/>
              <w:rPr>
                <w:b/>
                <w:color w:val="000000" w:themeColor="text1"/>
                <w:szCs w:val="22"/>
              </w:rPr>
            </w:pPr>
            <w:r w:rsidRPr="001C04B8">
              <w:rPr>
                <w:b/>
                <w:color w:val="000000" w:themeColor="text1"/>
                <w:szCs w:val="22"/>
              </w:rPr>
              <w:t>Beneficiari direcți</w:t>
            </w:r>
          </w:p>
        </w:tc>
        <w:tc>
          <w:tcPr>
            <w:tcW w:w="3579" w:type="pct"/>
            <w:gridSpan w:val="2"/>
            <w:vAlign w:val="center"/>
          </w:tcPr>
          <w:p w:rsidR="00B53233" w:rsidRPr="001C04B8" w:rsidRDefault="00B53233" w:rsidP="006D50CA">
            <w:pPr>
              <w:spacing w:line="276" w:lineRule="auto"/>
              <w:rPr>
                <w:szCs w:val="22"/>
              </w:rPr>
            </w:pPr>
            <w:r w:rsidRPr="001C04B8">
              <w:rPr>
                <w:szCs w:val="22"/>
              </w:rPr>
              <w:t>Furnizorii de servicii de formare sau de alte servicii de transfer de cunoștințe și de acțiuni de informare și care îndeplinesc criteriile de eligibilitate și de selecție</w:t>
            </w:r>
          </w:p>
        </w:tc>
      </w:tr>
      <w:tr w:rsidR="00B53233" w:rsidRPr="001C04B8" w:rsidTr="00B53233">
        <w:trPr>
          <w:trHeight w:val="440"/>
          <w:jc w:val="center"/>
        </w:trPr>
        <w:tc>
          <w:tcPr>
            <w:tcW w:w="1421" w:type="pct"/>
            <w:vAlign w:val="center"/>
          </w:tcPr>
          <w:p w:rsidR="00B53233" w:rsidRPr="001C04B8" w:rsidRDefault="00B53233" w:rsidP="00B53233">
            <w:pPr>
              <w:pStyle w:val="ListParagraph"/>
              <w:numPr>
                <w:ilvl w:val="0"/>
                <w:numId w:val="2"/>
              </w:numPr>
              <w:spacing w:line="276" w:lineRule="auto"/>
              <w:ind w:left="510" w:hanging="510"/>
              <w:jc w:val="center"/>
              <w:rPr>
                <w:b/>
                <w:color w:val="000000" w:themeColor="text1"/>
                <w:szCs w:val="22"/>
              </w:rPr>
            </w:pPr>
            <w:r w:rsidRPr="001C04B8">
              <w:rPr>
                <w:b/>
                <w:color w:val="000000" w:themeColor="text1"/>
                <w:szCs w:val="22"/>
              </w:rPr>
              <w:t>Beneficiari indirecți</w:t>
            </w:r>
          </w:p>
        </w:tc>
        <w:tc>
          <w:tcPr>
            <w:tcW w:w="3579" w:type="pct"/>
            <w:gridSpan w:val="2"/>
            <w:vAlign w:val="center"/>
          </w:tcPr>
          <w:p w:rsidR="00B53233" w:rsidRPr="001C04B8" w:rsidRDefault="00B53233" w:rsidP="006D50CA">
            <w:pPr>
              <w:spacing w:line="276" w:lineRule="auto"/>
              <w:rPr>
                <w:color w:val="FF0000"/>
                <w:szCs w:val="22"/>
              </w:rPr>
            </w:pPr>
            <w:r w:rsidRPr="001C04B8">
              <w:rPr>
                <w:szCs w:val="22"/>
              </w:rPr>
              <w:t>Persoane angajate în sectoarele agricol, alimentar și silvic, al gestionarilor de terenuri și al altor actori economici care sunt IMM-uri care își desfășoară activitatea în zone rurale.</w:t>
            </w:r>
          </w:p>
        </w:tc>
      </w:tr>
      <w:tr w:rsidR="00B53233" w:rsidRPr="001C04B8" w:rsidTr="006D50CA">
        <w:trPr>
          <w:trHeight w:val="567"/>
          <w:jc w:val="center"/>
        </w:trPr>
        <w:tc>
          <w:tcPr>
            <w:tcW w:w="5000" w:type="pct"/>
            <w:gridSpan w:val="3"/>
            <w:vAlign w:val="center"/>
          </w:tcPr>
          <w:p w:rsidR="00B53233" w:rsidRPr="001C04B8" w:rsidRDefault="00B53233" w:rsidP="00B53233">
            <w:pPr>
              <w:pStyle w:val="ListParagraph"/>
              <w:numPr>
                <w:ilvl w:val="0"/>
                <w:numId w:val="8"/>
              </w:numPr>
              <w:spacing w:line="276" w:lineRule="auto"/>
              <w:rPr>
                <w:b/>
                <w:color w:val="000000" w:themeColor="text1"/>
                <w:szCs w:val="22"/>
              </w:rPr>
            </w:pPr>
            <w:r w:rsidRPr="001C04B8">
              <w:rPr>
                <w:b/>
                <w:color w:val="000000" w:themeColor="text1"/>
                <w:szCs w:val="22"/>
              </w:rPr>
              <w:t>Tip de sprijin (conform art. 67 din Reg. (UE) nr.1303/2013)</w:t>
            </w:r>
          </w:p>
        </w:tc>
      </w:tr>
      <w:tr w:rsidR="00B53233" w:rsidRPr="001C04B8" w:rsidTr="006D50CA">
        <w:trPr>
          <w:trHeight w:val="1237"/>
          <w:jc w:val="center"/>
        </w:trPr>
        <w:tc>
          <w:tcPr>
            <w:tcW w:w="5000" w:type="pct"/>
            <w:gridSpan w:val="3"/>
            <w:vAlign w:val="center"/>
          </w:tcPr>
          <w:p w:rsidR="00B53233" w:rsidRPr="001C04B8" w:rsidRDefault="00B53233" w:rsidP="00B53233">
            <w:pPr>
              <w:pStyle w:val="ListParagraph"/>
              <w:numPr>
                <w:ilvl w:val="0"/>
                <w:numId w:val="4"/>
              </w:numPr>
              <w:tabs>
                <w:tab w:val="left" w:pos="446"/>
              </w:tabs>
              <w:autoSpaceDE w:val="0"/>
              <w:autoSpaceDN w:val="0"/>
              <w:adjustRightInd w:val="0"/>
              <w:spacing w:line="276" w:lineRule="auto"/>
              <w:ind w:left="227" w:hanging="227"/>
              <w:rPr>
                <w:rFonts w:cs="Arial"/>
                <w:color w:val="000000" w:themeColor="text1"/>
                <w:szCs w:val="22"/>
              </w:rPr>
            </w:pPr>
            <w:r w:rsidRPr="001C04B8">
              <w:rPr>
                <w:rFonts w:cs="Arial"/>
                <w:color w:val="000000" w:themeColor="text1"/>
                <w:szCs w:val="22"/>
              </w:rPr>
              <w:t>Rambursarea costurilor eligibile suportate şi plătite efectiv de solicitant</w:t>
            </w:r>
          </w:p>
          <w:p w:rsidR="00B53233" w:rsidRPr="001C04B8" w:rsidRDefault="00B53233" w:rsidP="00B53233">
            <w:pPr>
              <w:pStyle w:val="ListParagraph"/>
              <w:numPr>
                <w:ilvl w:val="0"/>
                <w:numId w:val="4"/>
              </w:numPr>
              <w:tabs>
                <w:tab w:val="left" w:pos="446"/>
              </w:tabs>
              <w:autoSpaceDE w:val="0"/>
              <w:autoSpaceDN w:val="0"/>
              <w:adjustRightInd w:val="0"/>
              <w:spacing w:line="276" w:lineRule="auto"/>
              <w:ind w:left="227" w:hanging="227"/>
              <w:rPr>
                <w:szCs w:val="22"/>
              </w:rPr>
            </w:pPr>
            <w:r w:rsidRPr="001C04B8">
              <w:rPr>
                <w:rFonts w:cs="Arial"/>
                <w:color w:val="000000" w:themeColor="text1"/>
                <w:szCs w:val="22"/>
              </w:rPr>
              <w:t>Plăţi în avans, cu condiţia constituirii unei garanţii echivalente corespunzătoare procentului de 100% din valoarea avansului, în conformitate cu art.45(4) şi art.63 ale Reg.(UE) nr. 1305/2013</w:t>
            </w:r>
          </w:p>
        </w:tc>
      </w:tr>
      <w:tr w:rsidR="00B53233" w:rsidRPr="001C04B8" w:rsidTr="006D50CA">
        <w:trPr>
          <w:trHeight w:val="282"/>
          <w:jc w:val="center"/>
        </w:trPr>
        <w:tc>
          <w:tcPr>
            <w:tcW w:w="5000" w:type="pct"/>
            <w:gridSpan w:val="3"/>
            <w:vAlign w:val="center"/>
          </w:tcPr>
          <w:p w:rsidR="00B53233" w:rsidRPr="001C04B8" w:rsidRDefault="00B53233" w:rsidP="00B53233">
            <w:pPr>
              <w:pStyle w:val="ListParagraph"/>
              <w:numPr>
                <w:ilvl w:val="0"/>
                <w:numId w:val="8"/>
              </w:numPr>
              <w:tabs>
                <w:tab w:val="left" w:pos="360"/>
              </w:tabs>
              <w:spacing w:line="276" w:lineRule="auto"/>
              <w:ind w:left="0" w:firstLine="0"/>
              <w:rPr>
                <w:rFonts w:cs="Arial"/>
                <w:color w:val="000000" w:themeColor="text1"/>
                <w:szCs w:val="22"/>
              </w:rPr>
            </w:pPr>
            <w:r w:rsidRPr="001C04B8">
              <w:rPr>
                <w:b/>
                <w:color w:val="000000" w:themeColor="text1"/>
                <w:szCs w:val="22"/>
              </w:rPr>
              <w:t>Tipuri de acțiuni eligibile și neeligibile</w:t>
            </w:r>
          </w:p>
        </w:tc>
      </w:tr>
      <w:tr w:rsidR="00B53233" w:rsidRPr="001C04B8" w:rsidTr="006D50CA">
        <w:trPr>
          <w:trHeight w:val="567"/>
          <w:jc w:val="center"/>
        </w:trPr>
        <w:tc>
          <w:tcPr>
            <w:tcW w:w="5000" w:type="pct"/>
            <w:gridSpan w:val="3"/>
            <w:vAlign w:val="center"/>
          </w:tcPr>
          <w:p w:rsidR="00B53233" w:rsidRPr="001C04B8" w:rsidRDefault="00B53233" w:rsidP="00B53233">
            <w:pPr>
              <w:pStyle w:val="ListParagraph"/>
              <w:numPr>
                <w:ilvl w:val="0"/>
                <w:numId w:val="5"/>
              </w:numPr>
              <w:spacing w:line="276" w:lineRule="auto"/>
              <w:ind w:left="510" w:hanging="510"/>
              <w:rPr>
                <w:color w:val="000000" w:themeColor="text1"/>
                <w:szCs w:val="22"/>
              </w:rPr>
            </w:pPr>
            <w:r w:rsidRPr="001C04B8">
              <w:rPr>
                <w:b/>
                <w:color w:val="000000" w:themeColor="text1"/>
                <w:szCs w:val="22"/>
              </w:rPr>
              <w:t xml:space="preserve">Tipuri de acțiuni eligibile </w:t>
            </w:r>
          </w:p>
        </w:tc>
      </w:tr>
      <w:tr w:rsidR="00B53233" w:rsidRPr="001C04B8" w:rsidTr="006D50CA">
        <w:trPr>
          <w:trHeight w:val="458"/>
          <w:jc w:val="center"/>
        </w:trPr>
        <w:tc>
          <w:tcPr>
            <w:tcW w:w="5000" w:type="pct"/>
            <w:gridSpan w:val="3"/>
            <w:vAlign w:val="center"/>
          </w:tcPr>
          <w:p w:rsidR="00B53233" w:rsidRPr="001C04B8" w:rsidRDefault="00B53233" w:rsidP="006D50CA">
            <w:pPr>
              <w:spacing w:line="276" w:lineRule="auto"/>
              <w:rPr>
                <w:b/>
                <w:i/>
                <w:szCs w:val="22"/>
              </w:rPr>
            </w:pPr>
            <w:r w:rsidRPr="001C04B8">
              <w:rPr>
                <w:szCs w:val="22"/>
              </w:rPr>
              <w:t>În cadrul acestei măsuri se acordă sprijin pentru acțiuni de formare profesională și de dobândire de competențe practice, adaptate la nevoile grupului țintă.</w:t>
            </w:r>
          </w:p>
          <w:p w:rsidR="00B53233" w:rsidRPr="001C04B8" w:rsidRDefault="00B53233" w:rsidP="006D50CA">
            <w:pPr>
              <w:spacing w:line="276" w:lineRule="auto"/>
              <w:rPr>
                <w:b/>
                <w:i/>
                <w:szCs w:val="22"/>
              </w:rPr>
            </w:pPr>
            <w:r w:rsidRPr="001C04B8">
              <w:rPr>
                <w:b/>
                <w:szCs w:val="22"/>
              </w:rPr>
              <w:t>Acţiuni de instruire profesională şi dobândire competenţe</w:t>
            </w:r>
            <w:r w:rsidRPr="001C04B8">
              <w:rPr>
                <w:szCs w:val="22"/>
              </w:rPr>
              <w:t>: cursuri de instruire,  workshop-uri practice şi îndrumare profesională; sesiuni specifice pentru a atinge obiectivele concrete de instruire pentru grupurile ţintă; ateliere practice care să consiste într-o întrunire tematică sau  forumuri care abordează o anumită problemă; îndrumarea profesională specializată care  oferă răspunsuri unor nevoi specifice; cursuri de instruire e-learning, etc.</w:t>
            </w:r>
          </w:p>
          <w:p w:rsidR="00B53233" w:rsidRPr="001C04B8" w:rsidRDefault="00B53233" w:rsidP="006D50CA">
            <w:pPr>
              <w:spacing w:line="276" w:lineRule="auto"/>
              <w:rPr>
                <w:szCs w:val="22"/>
              </w:rPr>
            </w:pPr>
            <w:r w:rsidRPr="001C04B8">
              <w:rPr>
                <w:szCs w:val="22"/>
              </w:rPr>
              <w:t xml:space="preserve">Acțiunile sprijinite vor include și activităţi  de diseminare de informaţii privind </w:t>
            </w:r>
            <w:r w:rsidRPr="001C04B8">
              <w:rPr>
                <w:szCs w:val="22"/>
              </w:rPr>
              <w:lastRenderedPageBreak/>
              <w:t>agricultura, silvicultura şi  IMM-urile, activități de conștientizare a grupului țintă asupra aspectelor legate de protecția mediului și schimbări climatice, prin acțiuni de întâlniri, prezentări, materiale tipărite sau mediul electronic.</w:t>
            </w:r>
          </w:p>
        </w:tc>
      </w:tr>
      <w:tr w:rsidR="00B53233" w:rsidRPr="001C04B8" w:rsidTr="006D50CA">
        <w:trPr>
          <w:trHeight w:val="194"/>
          <w:jc w:val="center"/>
        </w:trPr>
        <w:tc>
          <w:tcPr>
            <w:tcW w:w="5000" w:type="pct"/>
            <w:gridSpan w:val="3"/>
            <w:vAlign w:val="center"/>
          </w:tcPr>
          <w:p w:rsidR="00B53233" w:rsidRPr="001C04B8" w:rsidRDefault="00B53233" w:rsidP="00B53233">
            <w:pPr>
              <w:pStyle w:val="ListParagraph"/>
              <w:numPr>
                <w:ilvl w:val="0"/>
                <w:numId w:val="5"/>
              </w:numPr>
              <w:spacing w:line="276" w:lineRule="auto"/>
              <w:ind w:left="510" w:hanging="510"/>
              <w:rPr>
                <w:rFonts w:cs="Arial"/>
                <w:b/>
                <w:color w:val="000000" w:themeColor="text1"/>
                <w:szCs w:val="22"/>
              </w:rPr>
            </w:pPr>
            <w:r w:rsidRPr="001C04B8">
              <w:rPr>
                <w:b/>
                <w:color w:val="000000" w:themeColor="text1"/>
                <w:szCs w:val="22"/>
              </w:rPr>
              <w:lastRenderedPageBreak/>
              <w:t>Tipuri de acțiuni neeligibile</w:t>
            </w:r>
          </w:p>
        </w:tc>
      </w:tr>
      <w:tr w:rsidR="00B53233" w:rsidRPr="001C04B8" w:rsidTr="006D50CA">
        <w:trPr>
          <w:trHeight w:val="377"/>
          <w:jc w:val="center"/>
        </w:trPr>
        <w:tc>
          <w:tcPr>
            <w:tcW w:w="5000" w:type="pct"/>
            <w:gridSpan w:val="3"/>
            <w:vAlign w:val="center"/>
          </w:tcPr>
          <w:p w:rsidR="00B53233" w:rsidRPr="001C04B8" w:rsidRDefault="00B53233" w:rsidP="00B53233">
            <w:pPr>
              <w:pStyle w:val="ListParagraph"/>
              <w:numPr>
                <w:ilvl w:val="0"/>
                <w:numId w:val="4"/>
              </w:numPr>
              <w:tabs>
                <w:tab w:val="left" w:pos="446"/>
              </w:tabs>
              <w:autoSpaceDE w:val="0"/>
              <w:autoSpaceDN w:val="0"/>
              <w:adjustRightInd w:val="0"/>
              <w:spacing w:line="276" w:lineRule="auto"/>
              <w:ind w:left="227" w:hanging="227"/>
              <w:rPr>
                <w:rFonts w:cs="Arial"/>
                <w:color w:val="000000" w:themeColor="text1"/>
                <w:szCs w:val="22"/>
              </w:rPr>
            </w:pPr>
            <w:r w:rsidRPr="001C04B8">
              <w:rPr>
                <w:rFonts w:cs="Arial"/>
                <w:color w:val="000000" w:themeColor="text1"/>
                <w:szCs w:val="22"/>
              </w:rPr>
              <w:t xml:space="preserve">Cursurile de instruire sau de formare care fac parte din programele educative normale sau din sisteme la nivelele de învățământ liceal sau universitar sunt excluse din această măsură.  </w:t>
            </w:r>
          </w:p>
          <w:p w:rsidR="00B53233" w:rsidRPr="001C04B8" w:rsidRDefault="00B53233" w:rsidP="00B53233">
            <w:pPr>
              <w:pStyle w:val="ListParagraph"/>
              <w:numPr>
                <w:ilvl w:val="0"/>
                <w:numId w:val="4"/>
              </w:numPr>
              <w:tabs>
                <w:tab w:val="left" w:pos="446"/>
              </w:tabs>
              <w:autoSpaceDE w:val="0"/>
              <w:autoSpaceDN w:val="0"/>
              <w:adjustRightInd w:val="0"/>
              <w:spacing w:line="276" w:lineRule="auto"/>
              <w:ind w:left="227" w:hanging="227"/>
              <w:rPr>
                <w:szCs w:val="22"/>
              </w:rPr>
            </w:pPr>
            <w:r w:rsidRPr="001C04B8">
              <w:rPr>
                <w:rFonts w:cs="Arial"/>
                <w:color w:val="000000" w:themeColor="text1"/>
                <w:szCs w:val="22"/>
              </w:rPr>
              <w:t>Acțiunile de promovare a producătorilor sau al anumitor produse prin intermediul materialelor de informare şi al acțiunile susținute.</w:t>
            </w:r>
          </w:p>
        </w:tc>
      </w:tr>
      <w:tr w:rsidR="00B53233" w:rsidRPr="001C04B8" w:rsidTr="006D50CA">
        <w:trPr>
          <w:trHeight w:val="78"/>
          <w:jc w:val="center"/>
        </w:trPr>
        <w:tc>
          <w:tcPr>
            <w:tcW w:w="5000" w:type="pct"/>
            <w:gridSpan w:val="3"/>
            <w:vAlign w:val="center"/>
          </w:tcPr>
          <w:p w:rsidR="00B53233" w:rsidRPr="001C04B8" w:rsidRDefault="00B53233" w:rsidP="00B53233">
            <w:pPr>
              <w:pStyle w:val="ListParagraph"/>
              <w:numPr>
                <w:ilvl w:val="0"/>
                <w:numId w:val="8"/>
              </w:numPr>
              <w:spacing w:line="276" w:lineRule="auto"/>
              <w:rPr>
                <w:b/>
                <w:color w:val="000000" w:themeColor="text1"/>
                <w:szCs w:val="22"/>
              </w:rPr>
            </w:pPr>
            <w:r w:rsidRPr="001C04B8">
              <w:rPr>
                <w:b/>
                <w:color w:val="000000" w:themeColor="text1"/>
                <w:szCs w:val="22"/>
              </w:rPr>
              <w:t>Condiții de eligibilitate</w:t>
            </w:r>
          </w:p>
        </w:tc>
      </w:tr>
      <w:tr w:rsidR="00B53233" w:rsidRPr="001C04B8" w:rsidTr="006D50CA">
        <w:trPr>
          <w:trHeight w:val="440"/>
          <w:jc w:val="center"/>
        </w:trPr>
        <w:tc>
          <w:tcPr>
            <w:tcW w:w="5000" w:type="pct"/>
            <w:gridSpan w:val="3"/>
            <w:vAlign w:val="center"/>
          </w:tcPr>
          <w:p w:rsidR="00B53233" w:rsidRPr="001C04B8" w:rsidRDefault="00B53233" w:rsidP="00B53233">
            <w:pPr>
              <w:pStyle w:val="ListParagraph"/>
              <w:numPr>
                <w:ilvl w:val="0"/>
                <w:numId w:val="4"/>
              </w:numPr>
              <w:tabs>
                <w:tab w:val="left" w:pos="446"/>
              </w:tabs>
              <w:autoSpaceDE w:val="0"/>
              <w:autoSpaceDN w:val="0"/>
              <w:adjustRightInd w:val="0"/>
              <w:spacing w:line="276" w:lineRule="auto"/>
              <w:ind w:left="227" w:hanging="227"/>
              <w:rPr>
                <w:rFonts w:cs="Arial"/>
                <w:color w:val="000000" w:themeColor="text1"/>
                <w:szCs w:val="22"/>
              </w:rPr>
            </w:pPr>
            <w:r w:rsidRPr="001C04B8">
              <w:rPr>
                <w:rFonts w:cs="Arial"/>
                <w:color w:val="000000" w:themeColor="text1"/>
                <w:szCs w:val="22"/>
              </w:rPr>
              <w:t>Solicitantul trebuie să se încadreze în categoria beneficiarilor eligibili;</w:t>
            </w:r>
          </w:p>
          <w:p w:rsidR="00B53233" w:rsidRPr="001C04B8" w:rsidRDefault="00B53233" w:rsidP="00B53233">
            <w:pPr>
              <w:pStyle w:val="ListParagraph"/>
              <w:numPr>
                <w:ilvl w:val="0"/>
                <w:numId w:val="4"/>
              </w:numPr>
              <w:tabs>
                <w:tab w:val="left" w:pos="446"/>
              </w:tabs>
              <w:autoSpaceDE w:val="0"/>
              <w:autoSpaceDN w:val="0"/>
              <w:adjustRightInd w:val="0"/>
              <w:spacing w:line="276" w:lineRule="auto"/>
              <w:ind w:left="227" w:hanging="227"/>
              <w:rPr>
                <w:rFonts w:cs="Arial"/>
                <w:color w:val="000000" w:themeColor="text1"/>
                <w:szCs w:val="22"/>
              </w:rPr>
            </w:pPr>
            <w:r w:rsidRPr="001C04B8">
              <w:rPr>
                <w:rFonts w:cs="Arial"/>
                <w:color w:val="000000" w:themeColor="text1"/>
                <w:szCs w:val="22"/>
              </w:rPr>
              <w:t>Solicitantul nu trebuie sa fie în insolvență sau în incapacitate de plată;</w:t>
            </w:r>
          </w:p>
          <w:p w:rsidR="00B53233" w:rsidRPr="001C04B8" w:rsidRDefault="00B53233" w:rsidP="00B53233">
            <w:pPr>
              <w:pStyle w:val="ListParagraph"/>
              <w:numPr>
                <w:ilvl w:val="0"/>
                <w:numId w:val="4"/>
              </w:numPr>
              <w:tabs>
                <w:tab w:val="left" w:pos="446"/>
              </w:tabs>
              <w:autoSpaceDE w:val="0"/>
              <w:autoSpaceDN w:val="0"/>
              <w:adjustRightInd w:val="0"/>
              <w:spacing w:line="276" w:lineRule="auto"/>
              <w:ind w:left="227" w:hanging="227"/>
              <w:rPr>
                <w:rFonts w:cs="Arial"/>
                <w:color w:val="000000" w:themeColor="text1"/>
                <w:szCs w:val="22"/>
              </w:rPr>
            </w:pPr>
            <w:r w:rsidRPr="001C04B8">
              <w:rPr>
                <w:rFonts w:cs="Arial"/>
                <w:color w:val="000000" w:themeColor="text1"/>
                <w:szCs w:val="22"/>
              </w:rPr>
              <w:t>Solicitantul are prevăzut în obiectul de activitate activități specifice domeniului de formare profesională;</w:t>
            </w:r>
          </w:p>
          <w:p w:rsidR="00B53233" w:rsidRPr="001C04B8" w:rsidRDefault="00B53233" w:rsidP="00B53233">
            <w:pPr>
              <w:pStyle w:val="ListParagraph"/>
              <w:numPr>
                <w:ilvl w:val="0"/>
                <w:numId w:val="4"/>
              </w:numPr>
              <w:tabs>
                <w:tab w:val="left" w:pos="446"/>
              </w:tabs>
              <w:autoSpaceDE w:val="0"/>
              <w:autoSpaceDN w:val="0"/>
              <w:adjustRightInd w:val="0"/>
              <w:spacing w:line="276" w:lineRule="auto"/>
              <w:ind w:left="227" w:hanging="227"/>
              <w:rPr>
                <w:rFonts w:cs="Arial"/>
                <w:color w:val="000000" w:themeColor="text1"/>
                <w:szCs w:val="22"/>
              </w:rPr>
            </w:pPr>
            <w:r w:rsidRPr="001C04B8">
              <w:rPr>
                <w:rFonts w:cs="Arial"/>
                <w:color w:val="000000" w:themeColor="text1"/>
                <w:szCs w:val="22"/>
              </w:rPr>
              <w:t>Solicitantul dispune de personal calificat, propriu sau cooptat;</w:t>
            </w:r>
          </w:p>
          <w:p w:rsidR="00B53233" w:rsidRPr="001C04B8" w:rsidRDefault="00B53233" w:rsidP="00B53233">
            <w:pPr>
              <w:pStyle w:val="ListParagraph"/>
              <w:numPr>
                <w:ilvl w:val="0"/>
                <w:numId w:val="4"/>
              </w:numPr>
              <w:tabs>
                <w:tab w:val="left" w:pos="446"/>
              </w:tabs>
              <w:autoSpaceDE w:val="0"/>
              <w:autoSpaceDN w:val="0"/>
              <w:adjustRightInd w:val="0"/>
              <w:spacing w:line="276" w:lineRule="auto"/>
              <w:ind w:left="227" w:hanging="227"/>
              <w:rPr>
                <w:rFonts w:cs="Arial"/>
                <w:color w:val="000000" w:themeColor="text1"/>
                <w:szCs w:val="22"/>
              </w:rPr>
            </w:pPr>
            <w:r w:rsidRPr="001C04B8">
              <w:rPr>
                <w:rFonts w:cs="Arial"/>
                <w:color w:val="000000" w:themeColor="text1"/>
                <w:szCs w:val="22"/>
              </w:rPr>
              <w:t>Solicitantul dovedește experiență anterioară relevantă în proiecte de formare profesională;</w:t>
            </w:r>
          </w:p>
          <w:p w:rsidR="00B53233" w:rsidRPr="001C04B8" w:rsidRDefault="00B53233" w:rsidP="00B53233">
            <w:pPr>
              <w:pStyle w:val="ListParagraph"/>
              <w:numPr>
                <w:ilvl w:val="0"/>
                <w:numId w:val="4"/>
              </w:numPr>
              <w:tabs>
                <w:tab w:val="left" w:pos="446"/>
              </w:tabs>
              <w:autoSpaceDE w:val="0"/>
              <w:autoSpaceDN w:val="0"/>
              <w:adjustRightInd w:val="0"/>
              <w:spacing w:line="276" w:lineRule="auto"/>
              <w:ind w:left="227" w:hanging="227"/>
              <w:rPr>
                <w:rFonts w:cs="Arial"/>
                <w:color w:val="000000" w:themeColor="text1"/>
                <w:szCs w:val="22"/>
              </w:rPr>
            </w:pPr>
            <w:r w:rsidRPr="001C04B8">
              <w:rPr>
                <w:rFonts w:cs="Arial"/>
                <w:color w:val="000000" w:themeColor="text1"/>
                <w:szCs w:val="22"/>
              </w:rPr>
              <w:t>Solicitantul dispune de capacitate tehnică şi financiară necesare derulării activităţilor specifice de formare;</w:t>
            </w:r>
          </w:p>
          <w:p w:rsidR="00B53233" w:rsidRPr="001C04B8" w:rsidRDefault="00B53233" w:rsidP="00B53233">
            <w:pPr>
              <w:pStyle w:val="ListParagraph"/>
              <w:numPr>
                <w:ilvl w:val="0"/>
                <w:numId w:val="4"/>
              </w:numPr>
              <w:tabs>
                <w:tab w:val="left" w:pos="446"/>
              </w:tabs>
              <w:autoSpaceDE w:val="0"/>
              <w:autoSpaceDN w:val="0"/>
              <w:adjustRightInd w:val="0"/>
              <w:spacing w:line="276" w:lineRule="auto"/>
              <w:ind w:left="227" w:hanging="227"/>
              <w:rPr>
                <w:rFonts w:cs="Arial"/>
                <w:color w:val="FF0000"/>
                <w:szCs w:val="22"/>
              </w:rPr>
            </w:pPr>
            <w:r w:rsidRPr="001C04B8">
              <w:rPr>
                <w:rFonts w:cs="Arial"/>
                <w:color w:val="000000" w:themeColor="text1"/>
                <w:szCs w:val="22"/>
              </w:rPr>
              <w:t>Solicitantul şi-a îndeplinit obligațiile de plată a impozitelor, taxelor şi contribuţiilor de asigurări sociale către bugetul de stat;</w:t>
            </w:r>
          </w:p>
        </w:tc>
      </w:tr>
      <w:tr w:rsidR="00B53233" w:rsidRPr="001C04B8" w:rsidTr="006D50CA">
        <w:trPr>
          <w:trHeight w:val="130"/>
          <w:jc w:val="center"/>
        </w:trPr>
        <w:tc>
          <w:tcPr>
            <w:tcW w:w="5000" w:type="pct"/>
            <w:gridSpan w:val="3"/>
            <w:vAlign w:val="center"/>
          </w:tcPr>
          <w:p w:rsidR="00B53233" w:rsidRPr="001C04B8" w:rsidRDefault="00B53233" w:rsidP="00B53233">
            <w:pPr>
              <w:pStyle w:val="ListParagraph"/>
              <w:numPr>
                <w:ilvl w:val="0"/>
                <w:numId w:val="8"/>
              </w:numPr>
              <w:spacing w:line="276" w:lineRule="auto"/>
              <w:rPr>
                <w:b/>
                <w:szCs w:val="22"/>
              </w:rPr>
            </w:pPr>
            <w:r w:rsidRPr="001C04B8">
              <w:rPr>
                <w:b/>
                <w:szCs w:val="22"/>
              </w:rPr>
              <w:t>Criterii de selecție</w:t>
            </w:r>
          </w:p>
        </w:tc>
      </w:tr>
      <w:tr w:rsidR="00B53233" w:rsidRPr="001C04B8" w:rsidTr="006D50CA">
        <w:trPr>
          <w:trHeight w:val="413"/>
          <w:jc w:val="center"/>
        </w:trPr>
        <w:tc>
          <w:tcPr>
            <w:tcW w:w="5000" w:type="pct"/>
            <w:gridSpan w:val="3"/>
            <w:vAlign w:val="center"/>
          </w:tcPr>
          <w:p w:rsidR="00B53233" w:rsidRPr="001C04B8" w:rsidRDefault="00B53233" w:rsidP="00B53233">
            <w:pPr>
              <w:pStyle w:val="ListParagraph"/>
              <w:numPr>
                <w:ilvl w:val="0"/>
                <w:numId w:val="4"/>
              </w:numPr>
              <w:tabs>
                <w:tab w:val="left" w:pos="446"/>
              </w:tabs>
              <w:autoSpaceDE w:val="0"/>
              <w:autoSpaceDN w:val="0"/>
              <w:adjustRightInd w:val="0"/>
              <w:spacing w:line="276" w:lineRule="auto"/>
              <w:ind w:left="227" w:hanging="227"/>
              <w:rPr>
                <w:rFonts w:cs="Arial"/>
                <w:color w:val="000000" w:themeColor="text1"/>
                <w:szCs w:val="22"/>
              </w:rPr>
            </w:pPr>
            <w:r w:rsidRPr="001C04B8">
              <w:rPr>
                <w:rFonts w:cs="Arial"/>
                <w:color w:val="000000" w:themeColor="text1"/>
                <w:szCs w:val="22"/>
              </w:rPr>
              <w:t>Caracteristici privind nivelul calitativ şi tehnic (înțelegerea nevoilor, numărul de experți, experiența acestora, logistica folosită pentru implementarea proiectului etc.);</w:t>
            </w:r>
          </w:p>
          <w:p w:rsidR="00B53233" w:rsidRPr="001C04B8" w:rsidRDefault="00B53233" w:rsidP="00B53233">
            <w:pPr>
              <w:pStyle w:val="ListParagraph"/>
              <w:numPr>
                <w:ilvl w:val="0"/>
                <w:numId w:val="4"/>
              </w:numPr>
              <w:tabs>
                <w:tab w:val="left" w:pos="446"/>
              </w:tabs>
              <w:autoSpaceDE w:val="0"/>
              <w:autoSpaceDN w:val="0"/>
              <w:adjustRightInd w:val="0"/>
              <w:spacing w:line="276" w:lineRule="auto"/>
              <w:ind w:left="227" w:hanging="227"/>
              <w:rPr>
                <w:rFonts w:cs="Arial"/>
                <w:color w:val="000000" w:themeColor="text1"/>
                <w:szCs w:val="22"/>
              </w:rPr>
            </w:pPr>
            <w:r w:rsidRPr="001C04B8">
              <w:rPr>
                <w:rFonts w:cs="Arial"/>
                <w:color w:val="000000" w:themeColor="text1"/>
                <w:szCs w:val="22"/>
              </w:rPr>
              <w:t>Oferta financiară – utilizarea eficientă a fondurilor;</w:t>
            </w:r>
          </w:p>
          <w:p w:rsidR="00B53233" w:rsidRPr="001C04B8" w:rsidRDefault="00B53233" w:rsidP="00B53233">
            <w:pPr>
              <w:pStyle w:val="ListParagraph"/>
              <w:numPr>
                <w:ilvl w:val="0"/>
                <w:numId w:val="4"/>
              </w:numPr>
              <w:tabs>
                <w:tab w:val="left" w:pos="446"/>
              </w:tabs>
              <w:autoSpaceDE w:val="0"/>
              <w:autoSpaceDN w:val="0"/>
              <w:adjustRightInd w:val="0"/>
              <w:spacing w:line="276" w:lineRule="auto"/>
              <w:ind w:left="227" w:hanging="227"/>
              <w:rPr>
                <w:rFonts w:cs="Arial"/>
                <w:color w:val="000000" w:themeColor="text1"/>
                <w:szCs w:val="22"/>
              </w:rPr>
            </w:pPr>
            <w:r w:rsidRPr="001C04B8">
              <w:rPr>
                <w:rFonts w:cs="Arial"/>
                <w:color w:val="000000" w:themeColor="text1"/>
                <w:szCs w:val="22"/>
              </w:rPr>
              <w:t>Proiecte care conțin module de antreprenoriat agricol;</w:t>
            </w:r>
          </w:p>
          <w:p w:rsidR="00B53233" w:rsidRPr="001C04B8" w:rsidRDefault="00B53233" w:rsidP="00B53233">
            <w:pPr>
              <w:pStyle w:val="ListParagraph"/>
              <w:numPr>
                <w:ilvl w:val="0"/>
                <w:numId w:val="4"/>
              </w:numPr>
              <w:tabs>
                <w:tab w:val="left" w:pos="446"/>
              </w:tabs>
              <w:autoSpaceDE w:val="0"/>
              <w:autoSpaceDN w:val="0"/>
              <w:adjustRightInd w:val="0"/>
              <w:spacing w:line="276" w:lineRule="auto"/>
              <w:ind w:left="227" w:hanging="227"/>
              <w:rPr>
                <w:rFonts w:cs="Arial"/>
                <w:color w:val="000000" w:themeColor="text1"/>
                <w:szCs w:val="22"/>
              </w:rPr>
            </w:pPr>
            <w:r w:rsidRPr="001C04B8">
              <w:rPr>
                <w:rFonts w:cs="Arial"/>
                <w:color w:val="000000" w:themeColor="text1"/>
                <w:szCs w:val="22"/>
              </w:rPr>
              <w:t>Module care să vină în stimularea diversificării activității agricole;</w:t>
            </w:r>
          </w:p>
          <w:p w:rsidR="00B53233" w:rsidRPr="001C04B8" w:rsidRDefault="00B53233" w:rsidP="00B53233">
            <w:pPr>
              <w:pStyle w:val="ListParagraph"/>
              <w:numPr>
                <w:ilvl w:val="0"/>
                <w:numId w:val="4"/>
              </w:numPr>
              <w:tabs>
                <w:tab w:val="left" w:pos="446"/>
              </w:tabs>
              <w:autoSpaceDE w:val="0"/>
              <w:autoSpaceDN w:val="0"/>
              <w:adjustRightInd w:val="0"/>
              <w:spacing w:line="276" w:lineRule="auto"/>
              <w:ind w:left="227" w:hanging="227"/>
              <w:rPr>
                <w:rFonts w:cs="Arial"/>
                <w:color w:val="000000" w:themeColor="text1"/>
                <w:szCs w:val="22"/>
              </w:rPr>
            </w:pPr>
            <w:r w:rsidRPr="001C04B8">
              <w:rPr>
                <w:rFonts w:cs="Arial"/>
                <w:color w:val="000000" w:themeColor="text1"/>
                <w:szCs w:val="22"/>
              </w:rPr>
              <w:t xml:space="preserve">Existența unui parteneriat cu asociații reprezentative la nivel național și instituții de învățământ și/sau instituții de cercetare dezvoltare; </w:t>
            </w:r>
            <w:bookmarkStart w:id="1" w:name="_GoBack"/>
            <w:bookmarkEnd w:id="1"/>
          </w:p>
          <w:p w:rsidR="00B53233" w:rsidRPr="001C04B8" w:rsidRDefault="00B53233" w:rsidP="00B53233">
            <w:pPr>
              <w:pStyle w:val="ListParagraph"/>
              <w:numPr>
                <w:ilvl w:val="0"/>
                <w:numId w:val="4"/>
              </w:numPr>
              <w:tabs>
                <w:tab w:val="left" w:pos="446"/>
              </w:tabs>
              <w:autoSpaceDE w:val="0"/>
              <w:autoSpaceDN w:val="0"/>
              <w:adjustRightInd w:val="0"/>
              <w:spacing w:line="276" w:lineRule="auto"/>
              <w:ind w:left="227" w:hanging="227"/>
              <w:rPr>
                <w:rFonts w:cs="Arial"/>
                <w:color w:val="000000" w:themeColor="text1"/>
                <w:szCs w:val="22"/>
              </w:rPr>
            </w:pPr>
            <w:r w:rsidRPr="001C04B8">
              <w:rPr>
                <w:rFonts w:cs="Arial"/>
                <w:color w:val="000000" w:themeColor="text1"/>
                <w:szCs w:val="22"/>
              </w:rPr>
              <w:t>Existența unei tematici generale adaptate la nevoile grupului țintă din teritoriul GAL.</w:t>
            </w:r>
          </w:p>
          <w:p w:rsidR="00B53233" w:rsidRPr="001C04B8" w:rsidRDefault="00B53233" w:rsidP="00B53233">
            <w:pPr>
              <w:pStyle w:val="ListParagraph"/>
              <w:numPr>
                <w:ilvl w:val="0"/>
                <w:numId w:val="4"/>
              </w:numPr>
              <w:tabs>
                <w:tab w:val="left" w:pos="446"/>
              </w:tabs>
              <w:autoSpaceDE w:val="0"/>
              <w:autoSpaceDN w:val="0"/>
              <w:adjustRightInd w:val="0"/>
              <w:spacing w:line="276" w:lineRule="auto"/>
              <w:ind w:left="227" w:hanging="227"/>
              <w:rPr>
                <w:szCs w:val="22"/>
              </w:rPr>
            </w:pPr>
            <w:r w:rsidRPr="001C04B8">
              <w:rPr>
                <w:rFonts w:cs="Arial"/>
                <w:color w:val="000000" w:themeColor="text1"/>
                <w:szCs w:val="22"/>
              </w:rPr>
              <w:t>Activități care cuprind tematici legate de protecției mediului și schimbări climatice</w:t>
            </w:r>
          </w:p>
        </w:tc>
      </w:tr>
      <w:tr w:rsidR="00B53233" w:rsidRPr="001C04B8" w:rsidTr="006D50CA">
        <w:trPr>
          <w:trHeight w:val="567"/>
          <w:jc w:val="center"/>
        </w:trPr>
        <w:tc>
          <w:tcPr>
            <w:tcW w:w="5000" w:type="pct"/>
            <w:gridSpan w:val="3"/>
            <w:vAlign w:val="center"/>
          </w:tcPr>
          <w:p w:rsidR="00B53233" w:rsidRPr="001C04B8" w:rsidRDefault="00B53233" w:rsidP="00B53233">
            <w:pPr>
              <w:pStyle w:val="ListParagraph"/>
              <w:numPr>
                <w:ilvl w:val="0"/>
                <w:numId w:val="8"/>
              </w:numPr>
              <w:spacing w:line="276" w:lineRule="auto"/>
              <w:rPr>
                <w:b/>
                <w:color w:val="000000" w:themeColor="text1"/>
                <w:szCs w:val="22"/>
              </w:rPr>
            </w:pPr>
            <w:r w:rsidRPr="001C04B8">
              <w:rPr>
                <w:b/>
                <w:color w:val="000000" w:themeColor="text1"/>
                <w:szCs w:val="22"/>
              </w:rPr>
              <w:t>Sume aplicabile și rata sprijinului:</w:t>
            </w:r>
          </w:p>
        </w:tc>
      </w:tr>
      <w:tr w:rsidR="00B53233" w:rsidRPr="001C04B8" w:rsidTr="006D50CA">
        <w:trPr>
          <w:trHeight w:val="630"/>
          <w:jc w:val="center"/>
        </w:trPr>
        <w:tc>
          <w:tcPr>
            <w:tcW w:w="5000" w:type="pct"/>
            <w:gridSpan w:val="3"/>
            <w:vAlign w:val="center"/>
          </w:tcPr>
          <w:p w:rsidR="00B53233" w:rsidRPr="001C04B8" w:rsidRDefault="00B53233" w:rsidP="006D50CA">
            <w:pPr>
              <w:spacing w:line="276" w:lineRule="auto"/>
              <w:rPr>
                <w:szCs w:val="22"/>
              </w:rPr>
            </w:pPr>
            <w:r w:rsidRPr="001C04B8">
              <w:rPr>
                <w:b/>
                <w:szCs w:val="22"/>
              </w:rPr>
              <w:t>Intensitatea sprijinului:</w:t>
            </w:r>
            <w:r w:rsidRPr="001C04B8">
              <w:rPr>
                <w:szCs w:val="22"/>
              </w:rPr>
              <w:t xml:space="preserve"> 100% din totalul cheltuielilor eligibile pentru toate tipurile de activități</w:t>
            </w:r>
          </w:p>
          <w:p w:rsidR="00B53233" w:rsidRPr="001C04B8" w:rsidRDefault="00B53233" w:rsidP="006D50CA">
            <w:pPr>
              <w:spacing w:line="276" w:lineRule="auto"/>
              <w:rPr>
                <w:szCs w:val="22"/>
              </w:rPr>
            </w:pPr>
            <w:r w:rsidRPr="001C04B8">
              <w:rPr>
                <w:b/>
                <w:szCs w:val="22"/>
              </w:rPr>
              <w:t xml:space="preserve">Valoarea sprijinului: </w:t>
            </w:r>
            <w:r w:rsidRPr="001C04B8">
              <w:rPr>
                <w:szCs w:val="22"/>
              </w:rPr>
              <w:t>între 5.000 - 25.000 EUR/proiect</w:t>
            </w:r>
          </w:p>
        </w:tc>
      </w:tr>
      <w:tr w:rsidR="00B53233" w:rsidRPr="001C04B8" w:rsidTr="006D50CA">
        <w:trPr>
          <w:trHeight w:val="378"/>
          <w:jc w:val="center"/>
        </w:trPr>
        <w:tc>
          <w:tcPr>
            <w:tcW w:w="5000" w:type="pct"/>
            <w:gridSpan w:val="3"/>
            <w:vAlign w:val="center"/>
          </w:tcPr>
          <w:p w:rsidR="00B53233" w:rsidRPr="001C04B8" w:rsidRDefault="00B53233" w:rsidP="006D50CA">
            <w:pPr>
              <w:spacing w:line="276" w:lineRule="auto"/>
              <w:rPr>
                <w:szCs w:val="22"/>
              </w:rPr>
            </w:pPr>
            <w:r w:rsidRPr="001C04B8">
              <w:rPr>
                <w:b/>
                <w:szCs w:val="22"/>
              </w:rPr>
              <w:t>10. Indicatori de monitorizare</w:t>
            </w:r>
          </w:p>
        </w:tc>
      </w:tr>
      <w:tr w:rsidR="00B53233" w:rsidRPr="001C04B8" w:rsidTr="006D50CA">
        <w:trPr>
          <w:trHeight w:val="412"/>
          <w:jc w:val="center"/>
        </w:trPr>
        <w:tc>
          <w:tcPr>
            <w:tcW w:w="3773" w:type="pct"/>
            <w:gridSpan w:val="2"/>
            <w:vAlign w:val="center"/>
          </w:tcPr>
          <w:p w:rsidR="00B53233" w:rsidRPr="001C04B8" w:rsidRDefault="00B53233" w:rsidP="006D50CA">
            <w:pPr>
              <w:spacing w:line="276" w:lineRule="auto"/>
              <w:rPr>
                <w:b/>
                <w:szCs w:val="22"/>
              </w:rPr>
            </w:pPr>
            <w:r w:rsidRPr="001C04B8">
              <w:rPr>
                <w:szCs w:val="22"/>
              </w:rPr>
              <w:t>Număr total al participanților instruiți</w:t>
            </w:r>
          </w:p>
        </w:tc>
        <w:tc>
          <w:tcPr>
            <w:tcW w:w="1227" w:type="pct"/>
            <w:vAlign w:val="center"/>
          </w:tcPr>
          <w:p w:rsidR="00B53233" w:rsidRPr="001C04B8" w:rsidRDefault="00B53233" w:rsidP="006D50CA">
            <w:pPr>
              <w:spacing w:line="276" w:lineRule="auto"/>
              <w:rPr>
                <w:b/>
                <w:szCs w:val="22"/>
              </w:rPr>
            </w:pPr>
            <w:r>
              <w:rPr>
                <w:b/>
                <w:szCs w:val="22"/>
              </w:rPr>
              <w:t>250</w:t>
            </w:r>
            <w:r w:rsidRPr="001C04B8">
              <w:rPr>
                <w:b/>
                <w:szCs w:val="22"/>
              </w:rPr>
              <w:t xml:space="preserve"> pers.</w:t>
            </w:r>
          </w:p>
        </w:tc>
      </w:tr>
      <w:tr w:rsidR="00B53233" w:rsidRPr="001C04B8" w:rsidTr="006D50CA">
        <w:trPr>
          <w:trHeight w:val="412"/>
          <w:jc w:val="center"/>
        </w:trPr>
        <w:tc>
          <w:tcPr>
            <w:tcW w:w="3773" w:type="pct"/>
            <w:gridSpan w:val="2"/>
            <w:vAlign w:val="center"/>
          </w:tcPr>
          <w:p w:rsidR="00B53233" w:rsidRPr="001C04B8" w:rsidRDefault="00B53233" w:rsidP="006D50CA">
            <w:pPr>
              <w:spacing w:line="276" w:lineRule="auto"/>
              <w:rPr>
                <w:szCs w:val="22"/>
              </w:rPr>
            </w:pPr>
            <w:r w:rsidRPr="001C04B8">
              <w:rPr>
                <w:szCs w:val="22"/>
              </w:rPr>
              <w:t>Cheltuieli publice totale</w:t>
            </w:r>
          </w:p>
        </w:tc>
        <w:tc>
          <w:tcPr>
            <w:tcW w:w="1227" w:type="pct"/>
            <w:vAlign w:val="center"/>
          </w:tcPr>
          <w:p w:rsidR="00B53233" w:rsidRPr="001C04B8" w:rsidRDefault="00B53233" w:rsidP="006D50CA">
            <w:pPr>
              <w:spacing w:line="276" w:lineRule="auto"/>
              <w:rPr>
                <w:b/>
                <w:szCs w:val="22"/>
              </w:rPr>
            </w:pPr>
            <w:r w:rsidRPr="00E10826">
              <w:rPr>
                <w:b/>
                <w:szCs w:val="22"/>
              </w:rPr>
              <w:t>25.000 EUR</w:t>
            </w:r>
          </w:p>
        </w:tc>
      </w:tr>
    </w:tbl>
    <w:p w:rsidR="00AF7B58" w:rsidRPr="00B53233" w:rsidRDefault="00B53233" w:rsidP="00B53233"/>
    <w:sectPr w:rsidR="00AF7B58" w:rsidRPr="00B53233" w:rsidSect="00B5323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3D9F"/>
    <w:multiLevelType w:val="hybridMultilevel"/>
    <w:tmpl w:val="851CF9A4"/>
    <w:lvl w:ilvl="0" w:tplc="47E44F56">
      <w:start w:val="1"/>
      <w:numFmt w:val="decimal"/>
      <w:lvlText w:val="1.%1."/>
      <w:lvlJc w:val="left"/>
      <w:pPr>
        <w:ind w:left="720" w:hanging="360"/>
      </w:pPr>
      <w:rPr>
        <w:rFonts w:hint="default"/>
      </w:rPr>
    </w:lvl>
    <w:lvl w:ilvl="1" w:tplc="976EE496">
      <w:numFmt w:val="bullet"/>
      <w:lvlText w:val="-"/>
      <w:lvlJc w:val="left"/>
      <w:pPr>
        <w:ind w:left="1440" w:hanging="360"/>
      </w:pPr>
      <w:rPr>
        <w:rFonts w:ascii="Trebuchet MS" w:eastAsia="Times New Roman" w:hAnsi="Trebuchet MS"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6A05A09"/>
    <w:multiLevelType w:val="multilevel"/>
    <w:tmpl w:val="675EDD88"/>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E562DA0"/>
    <w:multiLevelType w:val="hybridMultilevel"/>
    <w:tmpl w:val="A104C514"/>
    <w:lvl w:ilvl="0" w:tplc="225EFBAA">
      <w:start w:val="1"/>
      <w:numFmt w:val="decimal"/>
      <w:lvlText w:val="6.%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47B70C3E"/>
    <w:multiLevelType w:val="hybridMultilevel"/>
    <w:tmpl w:val="B040125C"/>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C9740FE8">
      <w:numFmt w:val="bullet"/>
      <w:lvlText w:val="-"/>
      <w:lvlJc w:val="left"/>
      <w:pPr>
        <w:ind w:left="1800" w:hanging="360"/>
      </w:pPr>
      <w:rPr>
        <w:rFonts w:ascii="Trebuchet MS" w:eastAsia="Times New Roman" w:hAnsi="Trebuchet MS" w:cs="Times New Roman"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4B997494"/>
    <w:multiLevelType w:val="hybridMultilevel"/>
    <w:tmpl w:val="29AAD8C6"/>
    <w:lvl w:ilvl="0" w:tplc="C62E8F74">
      <w:numFmt w:val="bullet"/>
      <w:lvlText w:val="-"/>
      <w:lvlJc w:val="left"/>
      <w:pPr>
        <w:ind w:left="417" w:hanging="360"/>
      </w:pPr>
      <w:rPr>
        <w:rFonts w:ascii="Trebuchet MS" w:eastAsia="Times New Roman" w:hAnsi="Trebuchet MS" w:cs="Arial" w:hint="default"/>
      </w:rPr>
    </w:lvl>
    <w:lvl w:ilvl="1" w:tplc="04180003" w:tentative="1">
      <w:start w:val="1"/>
      <w:numFmt w:val="bullet"/>
      <w:lvlText w:val="o"/>
      <w:lvlJc w:val="left"/>
      <w:pPr>
        <w:ind w:left="1497" w:hanging="360"/>
      </w:pPr>
      <w:rPr>
        <w:rFonts w:ascii="Courier New" w:hAnsi="Courier New" w:cs="Courier New" w:hint="default"/>
      </w:rPr>
    </w:lvl>
    <w:lvl w:ilvl="2" w:tplc="04180005" w:tentative="1">
      <w:start w:val="1"/>
      <w:numFmt w:val="bullet"/>
      <w:lvlText w:val=""/>
      <w:lvlJc w:val="left"/>
      <w:pPr>
        <w:ind w:left="2217" w:hanging="360"/>
      </w:pPr>
      <w:rPr>
        <w:rFonts w:ascii="Wingdings" w:hAnsi="Wingdings" w:hint="default"/>
      </w:rPr>
    </w:lvl>
    <w:lvl w:ilvl="3" w:tplc="04180001" w:tentative="1">
      <w:start w:val="1"/>
      <w:numFmt w:val="bullet"/>
      <w:lvlText w:val=""/>
      <w:lvlJc w:val="left"/>
      <w:pPr>
        <w:ind w:left="2937" w:hanging="360"/>
      </w:pPr>
      <w:rPr>
        <w:rFonts w:ascii="Symbol" w:hAnsi="Symbol" w:hint="default"/>
      </w:rPr>
    </w:lvl>
    <w:lvl w:ilvl="4" w:tplc="04180003" w:tentative="1">
      <w:start w:val="1"/>
      <w:numFmt w:val="bullet"/>
      <w:lvlText w:val="o"/>
      <w:lvlJc w:val="left"/>
      <w:pPr>
        <w:ind w:left="3657" w:hanging="360"/>
      </w:pPr>
      <w:rPr>
        <w:rFonts w:ascii="Courier New" w:hAnsi="Courier New" w:cs="Courier New" w:hint="default"/>
      </w:rPr>
    </w:lvl>
    <w:lvl w:ilvl="5" w:tplc="04180005" w:tentative="1">
      <w:start w:val="1"/>
      <w:numFmt w:val="bullet"/>
      <w:lvlText w:val=""/>
      <w:lvlJc w:val="left"/>
      <w:pPr>
        <w:ind w:left="4377" w:hanging="360"/>
      </w:pPr>
      <w:rPr>
        <w:rFonts w:ascii="Wingdings" w:hAnsi="Wingdings" w:hint="default"/>
      </w:rPr>
    </w:lvl>
    <w:lvl w:ilvl="6" w:tplc="04180001" w:tentative="1">
      <w:start w:val="1"/>
      <w:numFmt w:val="bullet"/>
      <w:lvlText w:val=""/>
      <w:lvlJc w:val="left"/>
      <w:pPr>
        <w:ind w:left="5097" w:hanging="360"/>
      </w:pPr>
      <w:rPr>
        <w:rFonts w:ascii="Symbol" w:hAnsi="Symbol" w:hint="default"/>
      </w:rPr>
    </w:lvl>
    <w:lvl w:ilvl="7" w:tplc="04180003" w:tentative="1">
      <w:start w:val="1"/>
      <w:numFmt w:val="bullet"/>
      <w:lvlText w:val="o"/>
      <w:lvlJc w:val="left"/>
      <w:pPr>
        <w:ind w:left="5817" w:hanging="360"/>
      </w:pPr>
      <w:rPr>
        <w:rFonts w:ascii="Courier New" w:hAnsi="Courier New" w:cs="Courier New" w:hint="default"/>
      </w:rPr>
    </w:lvl>
    <w:lvl w:ilvl="8" w:tplc="04180005" w:tentative="1">
      <w:start w:val="1"/>
      <w:numFmt w:val="bullet"/>
      <w:lvlText w:val=""/>
      <w:lvlJc w:val="left"/>
      <w:pPr>
        <w:ind w:left="6537" w:hanging="360"/>
      </w:pPr>
      <w:rPr>
        <w:rFonts w:ascii="Wingdings" w:hAnsi="Wingdings" w:hint="default"/>
      </w:rPr>
    </w:lvl>
  </w:abstractNum>
  <w:abstractNum w:abstractNumId="5" w15:restartNumberingAfterBreak="0">
    <w:nsid w:val="66243329"/>
    <w:multiLevelType w:val="hybridMultilevel"/>
    <w:tmpl w:val="BD3425BA"/>
    <w:lvl w:ilvl="0" w:tplc="C62E8F74">
      <w:numFmt w:val="bullet"/>
      <w:lvlText w:val="-"/>
      <w:lvlJc w:val="left"/>
      <w:pPr>
        <w:ind w:left="417" w:hanging="360"/>
      </w:pPr>
      <w:rPr>
        <w:rFonts w:ascii="Trebuchet MS" w:eastAsia="Times New Roman" w:hAnsi="Trebuchet MS" w:cs="Arial" w:hint="default"/>
      </w:rPr>
    </w:lvl>
    <w:lvl w:ilvl="1" w:tplc="04180003" w:tentative="1">
      <w:start w:val="1"/>
      <w:numFmt w:val="bullet"/>
      <w:lvlText w:val="o"/>
      <w:lvlJc w:val="left"/>
      <w:pPr>
        <w:ind w:left="1137" w:hanging="360"/>
      </w:pPr>
      <w:rPr>
        <w:rFonts w:ascii="Courier New" w:hAnsi="Courier New" w:cs="Courier New" w:hint="default"/>
      </w:rPr>
    </w:lvl>
    <w:lvl w:ilvl="2" w:tplc="04180005" w:tentative="1">
      <w:start w:val="1"/>
      <w:numFmt w:val="bullet"/>
      <w:lvlText w:val=""/>
      <w:lvlJc w:val="left"/>
      <w:pPr>
        <w:ind w:left="1857" w:hanging="360"/>
      </w:pPr>
      <w:rPr>
        <w:rFonts w:ascii="Wingdings" w:hAnsi="Wingdings" w:hint="default"/>
      </w:rPr>
    </w:lvl>
    <w:lvl w:ilvl="3" w:tplc="04180001" w:tentative="1">
      <w:start w:val="1"/>
      <w:numFmt w:val="bullet"/>
      <w:lvlText w:val=""/>
      <w:lvlJc w:val="left"/>
      <w:pPr>
        <w:ind w:left="2577" w:hanging="360"/>
      </w:pPr>
      <w:rPr>
        <w:rFonts w:ascii="Symbol" w:hAnsi="Symbol" w:hint="default"/>
      </w:rPr>
    </w:lvl>
    <w:lvl w:ilvl="4" w:tplc="04180003" w:tentative="1">
      <w:start w:val="1"/>
      <w:numFmt w:val="bullet"/>
      <w:lvlText w:val="o"/>
      <w:lvlJc w:val="left"/>
      <w:pPr>
        <w:ind w:left="3297" w:hanging="360"/>
      </w:pPr>
      <w:rPr>
        <w:rFonts w:ascii="Courier New" w:hAnsi="Courier New" w:cs="Courier New" w:hint="default"/>
      </w:rPr>
    </w:lvl>
    <w:lvl w:ilvl="5" w:tplc="04180005" w:tentative="1">
      <w:start w:val="1"/>
      <w:numFmt w:val="bullet"/>
      <w:lvlText w:val=""/>
      <w:lvlJc w:val="left"/>
      <w:pPr>
        <w:ind w:left="4017" w:hanging="360"/>
      </w:pPr>
      <w:rPr>
        <w:rFonts w:ascii="Wingdings" w:hAnsi="Wingdings" w:hint="default"/>
      </w:rPr>
    </w:lvl>
    <w:lvl w:ilvl="6" w:tplc="04180001" w:tentative="1">
      <w:start w:val="1"/>
      <w:numFmt w:val="bullet"/>
      <w:lvlText w:val=""/>
      <w:lvlJc w:val="left"/>
      <w:pPr>
        <w:ind w:left="4737" w:hanging="360"/>
      </w:pPr>
      <w:rPr>
        <w:rFonts w:ascii="Symbol" w:hAnsi="Symbol" w:hint="default"/>
      </w:rPr>
    </w:lvl>
    <w:lvl w:ilvl="7" w:tplc="04180003" w:tentative="1">
      <w:start w:val="1"/>
      <w:numFmt w:val="bullet"/>
      <w:lvlText w:val="o"/>
      <w:lvlJc w:val="left"/>
      <w:pPr>
        <w:ind w:left="5457" w:hanging="360"/>
      </w:pPr>
      <w:rPr>
        <w:rFonts w:ascii="Courier New" w:hAnsi="Courier New" w:cs="Courier New" w:hint="default"/>
      </w:rPr>
    </w:lvl>
    <w:lvl w:ilvl="8" w:tplc="04180005" w:tentative="1">
      <w:start w:val="1"/>
      <w:numFmt w:val="bullet"/>
      <w:lvlText w:val=""/>
      <w:lvlJc w:val="left"/>
      <w:pPr>
        <w:ind w:left="6177" w:hanging="360"/>
      </w:pPr>
      <w:rPr>
        <w:rFonts w:ascii="Wingdings" w:hAnsi="Wingdings" w:hint="default"/>
      </w:rPr>
    </w:lvl>
  </w:abstractNum>
  <w:abstractNum w:abstractNumId="6" w15:restartNumberingAfterBreak="0">
    <w:nsid w:val="6B6423D4"/>
    <w:multiLevelType w:val="hybridMultilevel"/>
    <w:tmpl w:val="942A7A00"/>
    <w:lvl w:ilvl="0" w:tplc="D664426A">
      <w:start w:val="1"/>
      <w:numFmt w:val="decimal"/>
      <w:lvlText w:val="4.%1."/>
      <w:lvlJc w:val="left"/>
      <w:pPr>
        <w:ind w:left="502"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742C7B84"/>
    <w:multiLevelType w:val="multilevel"/>
    <w:tmpl w:val="675EDD88"/>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6"/>
  </w:num>
  <w:num w:numId="3">
    <w:abstractNumId w:val="0"/>
  </w:num>
  <w:num w:numId="4">
    <w:abstractNumId w:val="3"/>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474"/>
    <w:rsid w:val="00026B12"/>
    <w:rsid w:val="00680474"/>
    <w:rsid w:val="00921FB4"/>
    <w:rsid w:val="00B53233"/>
    <w:rsid w:val="00EC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5A4C5-0AA9-486C-87F9-78002E42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B12"/>
    <w:pPr>
      <w:spacing w:after="0" w:line="300" w:lineRule="auto"/>
      <w:jc w:val="both"/>
    </w:pPr>
    <w:rPr>
      <w:rFonts w:ascii="Trebuchet MS" w:eastAsiaTheme="minorEastAsia" w:hAnsi="Trebuchet MS"/>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026B12"/>
    <w:pPr>
      <w:ind w:left="720"/>
      <w:contextualSpacing/>
    </w:pPr>
  </w:style>
  <w:style w:type="table" w:styleId="TableGrid">
    <w:name w:val="Table Grid"/>
    <w:basedOn w:val="TableNormal"/>
    <w:uiPriority w:val="39"/>
    <w:rsid w:val="00026B1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6B12"/>
    <w:pPr>
      <w:autoSpaceDE w:val="0"/>
      <w:autoSpaceDN w:val="0"/>
      <w:adjustRightInd w:val="0"/>
      <w:spacing w:after="0" w:line="240" w:lineRule="auto"/>
    </w:pPr>
    <w:rPr>
      <w:rFonts w:ascii="Times New Roman" w:hAnsi="Times New Roman" w:cs="Times New Roman"/>
      <w:color w:val="000000"/>
      <w:sz w:val="24"/>
      <w:szCs w:val="24"/>
      <w:lang w:val="ro-RO"/>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uiPriority w:val="34"/>
    <w:locked/>
    <w:rsid w:val="00026B12"/>
    <w:rPr>
      <w:rFonts w:ascii="Trebuchet MS" w:eastAsiaTheme="minorEastAsia" w:hAnsi="Trebuchet MS"/>
      <w:szCs w:val="17"/>
      <w:lang w:eastAsia="ja-JP"/>
    </w:rPr>
  </w:style>
  <w:style w:type="paragraph" w:customStyle="1" w:styleId="CM1">
    <w:name w:val="CM1"/>
    <w:basedOn w:val="Default"/>
    <w:next w:val="Default"/>
    <w:uiPriority w:val="99"/>
    <w:rsid w:val="00026B12"/>
    <w:rPr>
      <w:rFonts w:ascii="EUAlbertina" w:eastAsia="Times New Roman" w:hAnsi="EUAlbertina"/>
      <w:color w:val="auto"/>
      <w:lang w:eastAsia="ro-RO"/>
    </w:rPr>
  </w:style>
  <w:style w:type="character" w:styleId="Emphasis">
    <w:name w:val="Emphasis"/>
    <w:qFormat/>
    <w:rsid w:val="00026B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1989</Words>
  <Characters>11338</Characters>
  <Application>Microsoft Office Word</Application>
  <DocSecurity>0</DocSecurity>
  <Lines>94</Lines>
  <Paragraphs>26</Paragraphs>
  <ScaleCrop>false</ScaleCrop>
  <Company/>
  <LinksUpToDate>false</LinksUpToDate>
  <CharactersWithSpaces>13301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Olar</dc:creator>
  <cp:keywords/>
  <dc:description/>
  <cp:lastModifiedBy>Laura Incze</cp:lastModifiedBy>
  <cp:revision>3</cp:revision>
  <dcterms:created xsi:type="dcterms:W3CDTF">2018-02-05T07:51:00Z</dcterms:created>
  <dcterms:modified xsi:type="dcterms:W3CDTF">2018-11-01T11:21:00Z</dcterms:modified>
</cp:coreProperties>
</file>