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Layout w:type="fixed"/>
        <w:tblLook w:val="04A0" w:firstRow="1" w:lastRow="0" w:firstColumn="1" w:lastColumn="0" w:noHBand="0" w:noVBand="1"/>
      </w:tblPr>
      <w:tblGrid>
        <w:gridCol w:w="3281"/>
        <w:gridCol w:w="44"/>
        <w:gridCol w:w="264"/>
        <w:gridCol w:w="2995"/>
        <w:gridCol w:w="2992"/>
      </w:tblGrid>
      <w:tr w:rsidR="00DE1124" w:rsidRPr="001C04B8" w14:paraId="0B49BF9B" w14:textId="77777777" w:rsidTr="00954C0B">
        <w:trPr>
          <w:trHeight w:val="377"/>
          <w:jc w:val="center"/>
        </w:trPr>
        <w:tc>
          <w:tcPr>
            <w:tcW w:w="1874" w:type="pct"/>
            <w:gridSpan w:val="3"/>
            <w:shd w:val="clear" w:color="auto" w:fill="365F91" w:themeFill="accent1" w:themeFillShade="BF"/>
            <w:vAlign w:val="center"/>
          </w:tcPr>
          <w:p w14:paraId="5BC52716" w14:textId="77777777" w:rsidR="00DE1124" w:rsidRPr="004C41B9" w:rsidRDefault="00DE1124" w:rsidP="00954C0B">
            <w:pPr>
              <w:spacing w:line="276" w:lineRule="auto"/>
              <w:ind w:left="57"/>
              <w:rPr>
                <w:b/>
                <w:color w:val="FFFFFF" w:themeColor="background1"/>
                <w:szCs w:val="22"/>
              </w:rPr>
            </w:pPr>
            <w:r w:rsidRPr="004C41B9">
              <w:rPr>
                <w:b/>
                <w:color w:val="FFFFFF" w:themeColor="background1"/>
                <w:szCs w:val="22"/>
              </w:rPr>
              <w:t>Denumirea măsurii</w:t>
            </w:r>
          </w:p>
        </w:tc>
        <w:tc>
          <w:tcPr>
            <w:tcW w:w="3126" w:type="pct"/>
            <w:gridSpan w:val="2"/>
            <w:shd w:val="clear" w:color="auto" w:fill="365F91" w:themeFill="accent1" w:themeFillShade="BF"/>
            <w:vAlign w:val="center"/>
          </w:tcPr>
          <w:p w14:paraId="357958A0" w14:textId="77777777" w:rsidR="00DE1124" w:rsidRPr="004C41B9" w:rsidRDefault="00DE1124" w:rsidP="00954C0B">
            <w:pPr>
              <w:spacing w:line="276" w:lineRule="auto"/>
              <w:ind w:left="57"/>
              <w:rPr>
                <w:b/>
                <w:color w:val="FFFFFF" w:themeColor="background1"/>
                <w:szCs w:val="22"/>
              </w:rPr>
            </w:pPr>
            <w:r w:rsidRPr="004C41B9">
              <w:rPr>
                <w:b/>
                <w:color w:val="FFFFFF" w:themeColor="background1"/>
                <w:szCs w:val="22"/>
              </w:rPr>
              <w:t>Investiții în active fixe</w:t>
            </w:r>
          </w:p>
        </w:tc>
      </w:tr>
      <w:tr w:rsidR="00DE1124" w:rsidRPr="001C04B8" w14:paraId="465C7DF8" w14:textId="77777777" w:rsidTr="00954C0B">
        <w:trPr>
          <w:trHeight w:val="412"/>
          <w:jc w:val="center"/>
        </w:trPr>
        <w:tc>
          <w:tcPr>
            <w:tcW w:w="1874" w:type="pct"/>
            <w:gridSpan w:val="3"/>
            <w:vAlign w:val="center"/>
          </w:tcPr>
          <w:p w14:paraId="274849BE" w14:textId="77777777" w:rsidR="00DE1124" w:rsidRPr="001C04B8" w:rsidRDefault="00DE1124" w:rsidP="00954C0B">
            <w:pPr>
              <w:spacing w:line="276" w:lineRule="auto"/>
              <w:ind w:left="57"/>
              <w:rPr>
                <w:b/>
                <w:color w:val="000000" w:themeColor="text1"/>
                <w:szCs w:val="22"/>
              </w:rPr>
            </w:pPr>
            <w:r w:rsidRPr="001C04B8">
              <w:rPr>
                <w:b/>
                <w:color w:val="000000" w:themeColor="text1"/>
                <w:szCs w:val="22"/>
              </w:rPr>
              <w:t>Codul măsurii</w:t>
            </w:r>
          </w:p>
        </w:tc>
        <w:tc>
          <w:tcPr>
            <w:tcW w:w="3126" w:type="pct"/>
            <w:gridSpan w:val="2"/>
            <w:vAlign w:val="center"/>
          </w:tcPr>
          <w:p w14:paraId="1B41CCDA" w14:textId="77777777" w:rsidR="00DE1124" w:rsidRPr="001C04B8" w:rsidRDefault="00DE1124" w:rsidP="00954C0B">
            <w:pPr>
              <w:spacing w:line="276" w:lineRule="auto"/>
              <w:ind w:left="57"/>
              <w:rPr>
                <w:b/>
                <w:color w:val="000000" w:themeColor="text1"/>
                <w:szCs w:val="22"/>
              </w:rPr>
            </w:pPr>
            <w:r w:rsidRPr="001C04B8">
              <w:rPr>
                <w:b/>
                <w:color w:val="000000" w:themeColor="text1"/>
                <w:szCs w:val="22"/>
              </w:rPr>
              <w:t>Măsura  M7/2A</w:t>
            </w:r>
          </w:p>
        </w:tc>
      </w:tr>
      <w:tr w:rsidR="00DE1124" w:rsidRPr="001C04B8" w14:paraId="698B561F" w14:textId="77777777" w:rsidTr="00954C0B">
        <w:trPr>
          <w:trHeight w:val="273"/>
          <w:jc w:val="center"/>
        </w:trPr>
        <w:tc>
          <w:tcPr>
            <w:tcW w:w="1874" w:type="pct"/>
            <w:gridSpan w:val="3"/>
            <w:vAlign w:val="center"/>
          </w:tcPr>
          <w:p w14:paraId="65596477" w14:textId="77777777" w:rsidR="00DE1124" w:rsidRPr="001C04B8" w:rsidRDefault="00DE1124" w:rsidP="00954C0B">
            <w:pPr>
              <w:spacing w:line="276" w:lineRule="auto"/>
              <w:ind w:left="57"/>
              <w:rPr>
                <w:b/>
                <w:color w:val="000000" w:themeColor="text1"/>
                <w:szCs w:val="22"/>
              </w:rPr>
            </w:pPr>
            <w:r w:rsidRPr="001C04B8">
              <w:rPr>
                <w:b/>
                <w:color w:val="000000" w:themeColor="text1"/>
                <w:szCs w:val="22"/>
              </w:rPr>
              <w:t>Tipul măsurii</w:t>
            </w:r>
          </w:p>
        </w:tc>
        <w:tc>
          <w:tcPr>
            <w:tcW w:w="3126" w:type="pct"/>
            <w:gridSpan w:val="2"/>
            <w:vAlign w:val="center"/>
          </w:tcPr>
          <w:p w14:paraId="31700D1C" w14:textId="77777777" w:rsidR="00DE1124" w:rsidRPr="001C04B8" w:rsidRDefault="00DE1124" w:rsidP="00954C0B">
            <w:pPr>
              <w:pStyle w:val="Default"/>
              <w:spacing w:line="276" w:lineRule="auto"/>
              <w:ind w:left="57"/>
              <w:rPr>
                <w:rFonts w:ascii="Trebuchet MS" w:hAnsi="Trebuchet MS"/>
                <w:sz w:val="22"/>
                <w:szCs w:val="22"/>
              </w:rPr>
            </w:pPr>
            <w:r w:rsidRPr="001C04B8">
              <w:rPr>
                <w:rFonts w:ascii="Trebuchet MS" w:hAnsi="Trebuchet MS"/>
                <w:sz w:val="22"/>
                <w:szCs w:val="22"/>
              </w:rPr>
              <w:sym w:font="Wingdings" w:char="F078"/>
            </w:r>
            <w:r w:rsidRPr="001C04B8">
              <w:rPr>
                <w:rFonts w:ascii="Trebuchet MS" w:hAnsi="Trebuchet MS"/>
                <w:sz w:val="22"/>
                <w:szCs w:val="22"/>
              </w:rPr>
              <w:t xml:space="preserve"> </w:t>
            </w:r>
            <w:r w:rsidRPr="001C04B8">
              <w:rPr>
                <w:rFonts w:ascii="Trebuchet MS" w:hAnsi="Trebuchet MS"/>
                <w:b/>
                <w:sz w:val="22"/>
                <w:szCs w:val="22"/>
              </w:rPr>
              <w:t>INVESTIȚII</w:t>
            </w:r>
            <w:r w:rsidRPr="001C04B8">
              <w:rPr>
                <w:rFonts w:ascii="Trebuchet MS" w:hAnsi="Trebuchet MS"/>
                <w:sz w:val="22"/>
                <w:szCs w:val="22"/>
              </w:rPr>
              <w:t xml:space="preserve"> </w:t>
            </w:r>
          </w:p>
          <w:p w14:paraId="32B3C9E2" w14:textId="77777777" w:rsidR="00DE1124" w:rsidRPr="001C04B8" w:rsidRDefault="00DE1124" w:rsidP="00954C0B">
            <w:pPr>
              <w:pStyle w:val="Default"/>
              <w:spacing w:line="276" w:lineRule="auto"/>
              <w:ind w:left="57"/>
              <w:rPr>
                <w:rFonts w:ascii="Trebuchet MS" w:hAnsi="Trebuchet MS"/>
                <w:sz w:val="22"/>
                <w:szCs w:val="22"/>
              </w:rPr>
            </w:pPr>
            <w:r w:rsidRPr="001C04B8">
              <w:rPr>
                <w:rFonts w:ascii="Trebuchet MS" w:hAnsi="Trebuchet MS"/>
                <w:sz w:val="22"/>
                <w:szCs w:val="22"/>
              </w:rPr>
              <w:sym w:font="Wingdings" w:char="F0A8"/>
            </w:r>
            <w:r w:rsidRPr="001C04B8">
              <w:rPr>
                <w:rFonts w:ascii="Trebuchet MS" w:hAnsi="Trebuchet MS"/>
                <w:sz w:val="22"/>
                <w:szCs w:val="22"/>
              </w:rPr>
              <w:t xml:space="preserve"> </w:t>
            </w:r>
            <w:r w:rsidRPr="001C04B8">
              <w:rPr>
                <w:rFonts w:ascii="Trebuchet MS" w:hAnsi="Trebuchet MS"/>
                <w:b/>
                <w:sz w:val="22"/>
                <w:szCs w:val="22"/>
              </w:rPr>
              <w:t>SERVICII</w:t>
            </w:r>
            <w:r w:rsidRPr="001C04B8">
              <w:rPr>
                <w:rFonts w:ascii="Trebuchet MS" w:hAnsi="Trebuchet MS"/>
                <w:sz w:val="22"/>
                <w:szCs w:val="22"/>
              </w:rPr>
              <w:t xml:space="preserve"> </w:t>
            </w:r>
          </w:p>
          <w:p w14:paraId="3654AD5B" w14:textId="77777777" w:rsidR="00DE1124" w:rsidRPr="001C04B8" w:rsidRDefault="00DE1124" w:rsidP="00954C0B">
            <w:pPr>
              <w:spacing w:line="276" w:lineRule="auto"/>
              <w:ind w:left="57"/>
              <w:rPr>
                <w:b/>
                <w:color w:val="000000" w:themeColor="text1"/>
                <w:szCs w:val="22"/>
              </w:rPr>
            </w:pPr>
            <w:r w:rsidRPr="001C04B8">
              <w:rPr>
                <w:szCs w:val="22"/>
              </w:rPr>
              <w:sym w:font="Wingdings" w:char="F0A8"/>
            </w:r>
            <w:r w:rsidRPr="001C04B8">
              <w:rPr>
                <w:szCs w:val="22"/>
              </w:rPr>
              <w:t xml:space="preserve"> </w:t>
            </w:r>
            <w:r w:rsidRPr="001C04B8">
              <w:rPr>
                <w:b/>
                <w:szCs w:val="22"/>
              </w:rPr>
              <w:t>SPRIJIN FORFETAR</w:t>
            </w:r>
          </w:p>
        </w:tc>
      </w:tr>
      <w:tr w:rsidR="00DE1124" w:rsidRPr="001C04B8" w14:paraId="07F90B87" w14:textId="77777777" w:rsidTr="00954C0B">
        <w:trPr>
          <w:trHeight w:val="394"/>
          <w:jc w:val="center"/>
        </w:trPr>
        <w:tc>
          <w:tcPr>
            <w:tcW w:w="5000" w:type="pct"/>
            <w:gridSpan w:val="5"/>
            <w:vAlign w:val="center"/>
          </w:tcPr>
          <w:p w14:paraId="2173C9D7" w14:textId="77777777" w:rsidR="00DE1124" w:rsidRPr="001C04B8" w:rsidRDefault="00DE1124" w:rsidP="00DE1124">
            <w:pPr>
              <w:pStyle w:val="ListParagraph"/>
              <w:numPr>
                <w:ilvl w:val="0"/>
                <w:numId w:val="11"/>
              </w:numPr>
              <w:spacing w:line="276" w:lineRule="auto"/>
              <w:rPr>
                <w:b/>
                <w:color w:val="000000" w:themeColor="text1"/>
                <w:szCs w:val="22"/>
              </w:rPr>
            </w:pPr>
            <w:r w:rsidRPr="001C04B8">
              <w:rPr>
                <w:b/>
                <w:color w:val="000000" w:themeColor="text1"/>
                <w:szCs w:val="22"/>
              </w:rPr>
              <w:t>Descrierea generală a măsurii</w:t>
            </w:r>
          </w:p>
          <w:p w14:paraId="72130A21" w14:textId="77777777" w:rsidR="00DE1124" w:rsidRPr="001C04B8" w:rsidRDefault="00DE1124" w:rsidP="00954C0B">
            <w:pPr>
              <w:spacing w:line="276" w:lineRule="auto"/>
              <w:ind w:left="57"/>
              <w:rPr>
                <w:szCs w:val="22"/>
              </w:rPr>
            </w:pPr>
            <w:r w:rsidRPr="001C04B8">
              <w:rPr>
                <w:b/>
                <w:szCs w:val="22"/>
              </w:rPr>
              <w:t>Obiectivul</w:t>
            </w:r>
            <w:r w:rsidRPr="001C04B8">
              <w:rPr>
                <w:szCs w:val="22"/>
              </w:rPr>
              <w:t xml:space="preserve"> sprijinului este creşterea competitivităţii exploataţiilor agricole prin dotarea cu utilaje şi echipamente performante a exploatațiilor agricole, precum şi investițiile pentru modernizarea fermelor și îmbunătăţirea calității activelor fixe. Totodată în cadrul acestei măsuri, se va acorda sprijin pentru procesarea și marketingul produselor agricole.</w:t>
            </w:r>
          </w:p>
          <w:p w14:paraId="5F7889B3" w14:textId="77777777" w:rsidR="00DE1124" w:rsidRPr="001C04B8" w:rsidRDefault="00DE1124" w:rsidP="00954C0B">
            <w:pPr>
              <w:spacing w:line="276" w:lineRule="auto"/>
              <w:rPr>
                <w:b/>
                <w:i/>
                <w:szCs w:val="22"/>
              </w:rPr>
            </w:pPr>
            <w:r w:rsidRPr="001C04B8">
              <w:rPr>
                <w:szCs w:val="22"/>
              </w:rPr>
              <w:t>Această</w:t>
            </w:r>
            <w:r w:rsidRPr="001C04B8">
              <w:rPr>
                <w:b/>
                <w:i/>
                <w:szCs w:val="22"/>
              </w:rPr>
              <w:t xml:space="preserve"> </w:t>
            </w:r>
            <w:r w:rsidRPr="001C04B8">
              <w:rPr>
                <w:szCs w:val="22"/>
              </w:rPr>
              <w:t>măsura face parte operațiunilor generatoare de venit. Beneficiarii sprijinului sunt agenți economici, asociaţii de crescători de animale sau cooperative care desfăşoară activităţi economice generatoare de profit, necesitând sprijin pentru dezvoltare, dar asigurând totodată posibilitatea păstrării şi creării de locuri de muncă din teritoriul.</w:t>
            </w:r>
          </w:p>
          <w:p w14:paraId="2E477FA8" w14:textId="77777777" w:rsidR="00DE1124" w:rsidRPr="001C04B8" w:rsidRDefault="00DE1124" w:rsidP="00954C0B">
            <w:pPr>
              <w:spacing w:line="276" w:lineRule="auto"/>
              <w:ind w:left="57"/>
              <w:rPr>
                <w:szCs w:val="22"/>
              </w:rPr>
            </w:pPr>
            <w:r w:rsidRPr="001C04B8">
              <w:rPr>
                <w:b/>
                <w:szCs w:val="22"/>
              </w:rPr>
              <w:t>Scopul</w:t>
            </w:r>
            <w:r w:rsidRPr="001C04B8">
              <w:rPr>
                <w:szCs w:val="22"/>
              </w:rPr>
              <w:t xml:space="preserve"> sprijinului fiind</w:t>
            </w:r>
            <w:r w:rsidRPr="001C04B8">
              <w:rPr>
                <w:b/>
                <w:szCs w:val="22"/>
              </w:rPr>
              <w:t xml:space="preserve"> </w:t>
            </w:r>
            <w:r w:rsidRPr="001C04B8">
              <w:rPr>
                <w:szCs w:val="22"/>
              </w:rPr>
              <w:t>acordarea unor ajutoare financiare agricultorilor pentru a putea investi în achiziția/modernizarea propriilor exploatații agricole,</w:t>
            </w:r>
            <w:r>
              <w:rPr>
                <w:szCs w:val="22"/>
              </w:rPr>
              <w:t xml:space="preserve"> respectiv sprijinirea </w:t>
            </w:r>
            <w:r w:rsidRPr="00783990">
              <w:rPr>
                <w:szCs w:val="22"/>
              </w:rPr>
              <w:t>întreprinderilor</w:t>
            </w:r>
            <w:r>
              <w:rPr>
                <w:szCs w:val="22"/>
              </w:rPr>
              <w:t xml:space="preserve"> sau structurilor asociative</w:t>
            </w:r>
            <w:r w:rsidRPr="00783990">
              <w:rPr>
                <w:szCs w:val="22"/>
              </w:rPr>
              <w:t xml:space="preserve"> care realizează investiţii corporale</w:t>
            </w:r>
            <w:r>
              <w:rPr>
                <w:szCs w:val="22"/>
              </w:rPr>
              <w:t xml:space="preserve"> </w:t>
            </w:r>
            <w:r w:rsidRPr="00783990">
              <w:rPr>
                <w:szCs w:val="22"/>
              </w:rPr>
              <w:t>şi necorporale pentru procesarea şi marketingul produselor agricole</w:t>
            </w:r>
            <w:r>
              <w:rPr>
                <w:szCs w:val="22"/>
              </w:rPr>
              <w:t>,</w:t>
            </w:r>
            <w:r w:rsidRPr="001C04B8">
              <w:rPr>
                <w:szCs w:val="22"/>
              </w:rPr>
              <w:t xml:space="preserve"> astfel </w:t>
            </w:r>
            <w:r w:rsidRPr="001C04B8">
              <w:rPr>
                <w:color w:val="000000" w:themeColor="text1"/>
                <w:szCs w:val="22"/>
              </w:rPr>
              <w:t>diversificând-se economia rurală din teritoriu prin creșterea numărului de activități agricole</w:t>
            </w:r>
            <w:r w:rsidRPr="001C04B8">
              <w:rPr>
                <w:szCs w:val="22"/>
              </w:rPr>
              <w:t>. De asemenea, sprijinul vizează și stimularea dezvoltării capacității structurilor asociative care deservesc o populație mai mare decât exploatațiile individuale.</w:t>
            </w:r>
          </w:p>
        </w:tc>
      </w:tr>
      <w:tr w:rsidR="00DE1124" w:rsidRPr="001C04B8" w14:paraId="65D362D5" w14:textId="77777777" w:rsidTr="00954C0B">
        <w:trPr>
          <w:trHeight w:val="350"/>
          <w:jc w:val="center"/>
        </w:trPr>
        <w:tc>
          <w:tcPr>
            <w:tcW w:w="1736" w:type="pct"/>
            <w:gridSpan w:val="2"/>
            <w:vAlign w:val="center"/>
          </w:tcPr>
          <w:p w14:paraId="783BF60F" w14:textId="77777777" w:rsidR="00DE1124" w:rsidRPr="001C04B8" w:rsidRDefault="00DE1124" w:rsidP="00DE1124">
            <w:pPr>
              <w:pStyle w:val="ListParagraph"/>
              <w:numPr>
                <w:ilvl w:val="0"/>
                <w:numId w:val="7"/>
              </w:numPr>
              <w:spacing w:line="276" w:lineRule="auto"/>
              <w:ind w:left="510" w:hanging="510"/>
              <w:jc w:val="left"/>
              <w:rPr>
                <w:b/>
                <w:color w:val="000000" w:themeColor="text1"/>
                <w:szCs w:val="22"/>
              </w:rPr>
            </w:pPr>
            <w:r w:rsidRPr="001C04B8">
              <w:rPr>
                <w:b/>
                <w:color w:val="000000" w:themeColor="text1"/>
                <w:szCs w:val="22"/>
              </w:rPr>
              <w:t>Justificare și corelare cu analiza SWOT</w:t>
            </w:r>
          </w:p>
        </w:tc>
        <w:tc>
          <w:tcPr>
            <w:tcW w:w="3264" w:type="pct"/>
            <w:gridSpan w:val="3"/>
            <w:vAlign w:val="center"/>
          </w:tcPr>
          <w:p w14:paraId="2F5B8A3F" w14:textId="77777777" w:rsidR="00DE1124" w:rsidRPr="001C04B8" w:rsidRDefault="00DE1124" w:rsidP="00954C0B">
            <w:pPr>
              <w:spacing w:line="276" w:lineRule="auto"/>
              <w:ind w:left="57"/>
              <w:rPr>
                <w:szCs w:val="22"/>
              </w:rPr>
            </w:pPr>
            <w:r w:rsidRPr="001C04B8">
              <w:rPr>
                <w:szCs w:val="22"/>
              </w:rPr>
              <w:t>În urma analizei SWOT am identificat un potențial agricol important al teritoriului acoperit de parteneriat. Suprafețele agricole se regăsesc în teritoriu în pondere de 70% din suprafața totală a teritoriului, 62% din populaţie lucrează sau face parte dintr-o gospodărie agricolă, suprafețele agricole sunt diversificate, respectiv s-a identificat un efectiv de animale însemnat în teritoriu. Astfel considerăm aceste aspecte puncte tari ale teritoriului în cea ce privește agricultura, însă faptul că majoritatea acestor exploatații sunt de dimensiuni mici, nefiind eligibile pe nici o măsură din PNDR, dispun de dotări precare, au acces redus la piața de desfacere și beneficiază de o promovare ineficientă, considerăm că sprijinirea investițiilor în dotarea/modernizarea exploatațiilor, încurajarea asocierii între fermieri de subzistență și sprijinirea procesării la nivelul fermei</w:t>
            </w:r>
            <w:r>
              <w:rPr>
                <w:szCs w:val="22"/>
              </w:rPr>
              <w:t xml:space="preserve"> sau la nivel de forme asociative</w:t>
            </w:r>
            <w:r w:rsidRPr="001C04B8">
              <w:rPr>
                <w:szCs w:val="22"/>
              </w:rPr>
              <w:t>, reprezintă o reală șansă pentru acești fermieri în vederea îmbunătățirii performanţelor generale ale exploataţiilor agricole și a creşterii valorii adăugate a produselor agricole prin procesarea produselor la nivelul fermei</w:t>
            </w:r>
            <w:r>
              <w:rPr>
                <w:szCs w:val="22"/>
              </w:rPr>
              <w:t xml:space="preserve"> sau la nivelul formelor asociative care funcționează pe teritoriul GAL</w:t>
            </w:r>
            <w:r w:rsidRPr="001C04B8">
              <w:rPr>
                <w:szCs w:val="22"/>
              </w:rPr>
              <w:t xml:space="preserve"> şi comercializarea directă a acestora în </w:t>
            </w:r>
            <w:r w:rsidRPr="001C04B8">
              <w:rPr>
                <w:szCs w:val="22"/>
              </w:rPr>
              <w:lastRenderedPageBreak/>
              <w:t>vederea creării și promovării lanțurilor alimentare integrate.</w:t>
            </w:r>
          </w:p>
        </w:tc>
      </w:tr>
      <w:tr w:rsidR="00DE1124" w:rsidRPr="001C04B8" w14:paraId="2234508B" w14:textId="77777777" w:rsidTr="00954C0B">
        <w:trPr>
          <w:trHeight w:val="431"/>
          <w:jc w:val="center"/>
        </w:trPr>
        <w:tc>
          <w:tcPr>
            <w:tcW w:w="1736" w:type="pct"/>
            <w:gridSpan w:val="2"/>
            <w:vAlign w:val="center"/>
          </w:tcPr>
          <w:p w14:paraId="79837E4F" w14:textId="77777777" w:rsidR="00DE1124" w:rsidRPr="001C04B8" w:rsidRDefault="00DE1124" w:rsidP="00DE1124">
            <w:pPr>
              <w:pStyle w:val="ListParagraph"/>
              <w:numPr>
                <w:ilvl w:val="0"/>
                <w:numId w:val="7"/>
              </w:numPr>
              <w:spacing w:line="276" w:lineRule="auto"/>
              <w:ind w:left="510" w:hanging="510"/>
              <w:jc w:val="left"/>
              <w:rPr>
                <w:b/>
                <w:color w:val="000000" w:themeColor="text1"/>
                <w:szCs w:val="22"/>
              </w:rPr>
            </w:pPr>
            <w:r w:rsidRPr="001C04B8">
              <w:rPr>
                <w:b/>
                <w:color w:val="000000" w:themeColor="text1"/>
                <w:szCs w:val="22"/>
              </w:rPr>
              <w:lastRenderedPageBreak/>
              <w:t>Obiectiv(e) de dezvoltare rurală al Reg. (UE) 1305/2013, art.4</w:t>
            </w:r>
          </w:p>
        </w:tc>
        <w:tc>
          <w:tcPr>
            <w:tcW w:w="3264" w:type="pct"/>
            <w:gridSpan w:val="3"/>
            <w:vAlign w:val="center"/>
          </w:tcPr>
          <w:p w14:paraId="4491A358" w14:textId="77777777" w:rsidR="00DE1124" w:rsidRPr="001C04B8" w:rsidRDefault="00DE1124" w:rsidP="00DE1124">
            <w:pPr>
              <w:pStyle w:val="CM4"/>
              <w:numPr>
                <w:ilvl w:val="0"/>
                <w:numId w:val="4"/>
              </w:numPr>
              <w:spacing w:line="276" w:lineRule="auto"/>
              <w:ind w:left="57"/>
              <w:jc w:val="both"/>
              <w:rPr>
                <w:rFonts w:ascii="Trebuchet MS" w:hAnsi="Trebuchet MS" w:cs="EUAlbertina"/>
                <w:color w:val="000000"/>
                <w:sz w:val="22"/>
                <w:szCs w:val="22"/>
              </w:rPr>
            </w:pPr>
            <w:r w:rsidRPr="001C04B8">
              <w:rPr>
                <w:rFonts w:ascii="Trebuchet MS" w:hAnsi="Trebuchet MS" w:cs="EUAlbertina"/>
                <w:color w:val="000000"/>
                <w:sz w:val="22"/>
                <w:szCs w:val="22"/>
              </w:rPr>
              <w:t>(a) favorizarea competitivității în agricultură.</w:t>
            </w:r>
          </w:p>
        </w:tc>
      </w:tr>
      <w:tr w:rsidR="00DE1124" w:rsidRPr="001C04B8" w14:paraId="6C612C2E" w14:textId="77777777" w:rsidTr="00954C0B">
        <w:trPr>
          <w:trHeight w:val="350"/>
          <w:jc w:val="center"/>
        </w:trPr>
        <w:tc>
          <w:tcPr>
            <w:tcW w:w="1736" w:type="pct"/>
            <w:gridSpan w:val="2"/>
            <w:vAlign w:val="center"/>
          </w:tcPr>
          <w:p w14:paraId="4C02BBB6" w14:textId="77777777" w:rsidR="00DE1124" w:rsidRPr="001C04B8" w:rsidRDefault="00DE1124" w:rsidP="00DE1124">
            <w:pPr>
              <w:pStyle w:val="ListParagraph"/>
              <w:numPr>
                <w:ilvl w:val="0"/>
                <w:numId w:val="7"/>
              </w:numPr>
              <w:spacing w:line="276" w:lineRule="auto"/>
              <w:ind w:left="510" w:hanging="510"/>
              <w:jc w:val="left"/>
              <w:rPr>
                <w:b/>
                <w:color w:val="000000" w:themeColor="text1"/>
                <w:szCs w:val="22"/>
              </w:rPr>
            </w:pPr>
            <w:r w:rsidRPr="001C04B8">
              <w:rPr>
                <w:b/>
                <w:color w:val="000000" w:themeColor="text1"/>
                <w:szCs w:val="22"/>
              </w:rPr>
              <w:t>Obiectiv(e) specific(e) local(e) al(e) măsurii</w:t>
            </w:r>
          </w:p>
        </w:tc>
        <w:tc>
          <w:tcPr>
            <w:tcW w:w="3264" w:type="pct"/>
            <w:gridSpan w:val="3"/>
            <w:vAlign w:val="center"/>
          </w:tcPr>
          <w:p w14:paraId="1FE81F71" w14:textId="77777777" w:rsidR="00DE1124" w:rsidRPr="001C04B8" w:rsidRDefault="00DE1124" w:rsidP="00DE1124">
            <w:pPr>
              <w:pStyle w:val="ListParagraph"/>
              <w:numPr>
                <w:ilvl w:val="0"/>
                <w:numId w:val="10"/>
              </w:numPr>
              <w:tabs>
                <w:tab w:val="left" w:pos="446"/>
              </w:tabs>
              <w:autoSpaceDE w:val="0"/>
              <w:autoSpaceDN w:val="0"/>
              <w:adjustRightInd w:val="0"/>
              <w:spacing w:line="276" w:lineRule="auto"/>
              <w:rPr>
                <w:rFonts w:cs="Arial"/>
                <w:color w:val="000000" w:themeColor="text1"/>
                <w:szCs w:val="22"/>
              </w:rPr>
            </w:pPr>
            <w:r w:rsidRPr="001C04B8">
              <w:rPr>
                <w:szCs w:val="22"/>
              </w:rPr>
              <w:t>Creșterea competitivității agriculturii</w:t>
            </w:r>
          </w:p>
          <w:p w14:paraId="270B023A" w14:textId="77777777" w:rsidR="00DE1124" w:rsidRPr="001C04B8" w:rsidRDefault="00DE1124" w:rsidP="00DE1124">
            <w:pPr>
              <w:pStyle w:val="ListParagraph"/>
              <w:numPr>
                <w:ilvl w:val="0"/>
                <w:numId w:val="10"/>
              </w:numPr>
              <w:tabs>
                <w:tab w:val="left" w:pos="446"/>
              </w:tabs>
              <w:autoSpaceDE w:val="0"/>
              <w:autoSpaceDN w:val="0"/>
              <w:adjustRightInd w:val="0"/>
              <w:spacing w:line="276" w:lineRule="auto"/>
              <w:rPr>
                <w:rFonts w:cs="Arial"/>
                <w:color w:val="000000" w:themeColor="text1"/>
                <w:szCs w:val="22"/>
              </w:rPr>
            </w:pPr>
            <w:r w:rsidRPr="001C04B8">
              <w:rPr>
                <w:szCs w:val="22"/>
              </w:rPr>
              <w:t>Întinerirea generațiilor de fermieri și implicit menținerea tineretului în mediul rural;</w:t>
            </w:r>
          </w:p>
        </w:tc>
      </w:tr>
      <w:tr w:rsidR="00DE1124" w:rsidRPr="001C04B8" w14:paraId="6995393C" w14:textId="77777777" w:rsidTr="00954C0B">
        <w:trPr>
          <w:trHeight w:val="620"/>
          <w:jc w:val="center"/>
        </w:trPr>
        <w:tc>
          <w:tcPr>
            <w:tcW w:w="1736" w:type="pct"/>
            <w:gridSpan w:val="2"/>
            <w:vAlign w:val="center"/>
          </w:tcPr>
          <w:p w14:paraId="66E8DAFE" w14:textId="77777777" w:rsidR="00DE1124" w:rsidRPr="001C04B8" w:rsidRDefault="00DE1124" w:rsidP="00DE1124">
            <w:pPr>
              <w:pStyle w:val="ListParagraph"/>
              <w:numPr>
                <w:ilvl w:val="0"/>
                <w:numId w:val="7"/>
              </w:numPr>
              <w:spacing w:line="276" w:lineRule="auto"/>
              <w:ind w:left="510" w:hanging="510"/>
              <w:jc w:val="left"/>
              <w:rPr>
                <w:b/>
                <w:color w:val="000000" w:themeColor="text1"/>
                <w:szCs w:val="22"/>
              </w:rPr>
            </w:pPr>
            <w:r w:rsidRPr="001C04B8">
              <w:rPr>
                <w:b/>
                <w:color w:val="000000" w:themeColor="text1"/>
                <w:szCs w:val="22"/>
              </w:rPr>
              <w:t>Contribuție la prioritatea/prioritățile prevăzute la art.5, Reg.(UE) nr.1305/2013</w:t>
            </w:r>
          </w:p>
        </w:tc>
        <w:tc>
          <w:tcPr>
            <w:tcW w:w="3264" w:type="pct"/>
            <w:gridSpan w:val="3"/>
            <w:vAlign w:val="center"/>
          </w:tcPr>
          <w:p w14:paraId="0E262CE6" w14:textId="77777777" w:rsidR="00DE1124" w:rsidRPr="001C04B8" w:rsidRDefault="00DE1124" w:rsidP="00954C0B">
            <w:pPr>
              <w:tabs>
                <w:tab w:val="left" w:pos="231"/>
              </w:tabs>
              <w:spacing w:line="276" w:lineRule="auto"/>
              <w:ind w:left="57"/>
              <w:rPr>
                <w:szCs w:val="22"/>
              </w:rPr>
            </w:pPr>
            <w:r w:rsidRPr="001C04B8">
              <w:rPr>
                <w:bCs/>
                <w:szCs w:val="22"/>
              </w:rPr>
              <w:t>P2: Creșterea viabilității exploatațiilor și a competitivității tuturor tipurilor de agricultură în toate regiunile și promovarea tehnologiilor agricole inovatoare și a gestionării durabile a pădurilor.</w:t>
            </w:r>
          </w:p>
        </w:tc>
      </w:tr>
      <w:tr w:rsidR="00DE1124" w:rsidRPr="001C04B8" w14:paraId="199D6008" w14:textId="77777777" w:rsidTr="00954C0B">
        <w:trPr>
          <w:trHeight w:val="440"/>
          <w:jc w:val="center"/>
        </w:trPr>
        <w:tc>
          <w:tcPr>
            <w:tcW w:w="1736" w:type="pct"/>
            <w:gridSpan w:val="2"/>
            <w:vAlign w:val="center"/>
          </w:tcPr>
          <w:p w14:paraId="1CC1B028" w14:textId="77777777" w:rsidR="00DE1124" w:rsidRPr="001C04B8" w:rsidRDefault="00DE1124" w:rsidP="00DE1124">
            <w:pPr>
              <w:pStyle w:val="ListParagraph"/>
              <w:numPr>
                <w:ilvl w:val="0"/>
                <w:numId w:val="7"/>
              </w:numPr>
              <w:spacing w:line="276" w:lineRule="auto"/>
              <w:ind w:left="510" w:hanging="510"/>
              <w:jc w:val="left"/>
              <w:rPr>
                <w:b/>
                <w:color w:val="000000" w:themeColor="text1"/>
                <w:szCs w:val="22"/>
              </w:rPr>
            </w:pPr>
            <w:r w:rsidRPr="001C04B8">
              <w:rPr>
                <w:b/>
                <w:color w:val="000000" w:themeColor="text1"/>
                <w:szCs w:val="22"/>
              </w:rPr>
              <w:t xml:space="preserve">Corespondență cu obiectivele unui articol din Titlul III al Reg. (UE) nr. 1305/2013 </w:t>
            </w:r>
          </w:p>
        </w:tc>
        <w:tc>
          <w:tcPr>
            <w:tcW w:w="3264" w:type="pct"/>
            <w:gridSpan w:val="3"/>
            <w:vAlign w:val="center"/>
          </w:tcPr>
          <w:p w14:paraId="4D8F9D96" w14:textId="77777777" w:rsidR="00DE1124" w:rsidRPr="001C04B8" w:rsidRDefault="00DE1124" w:rsidP="00954C0B">
            <w:pPr>
              <w:spacing w:line="276" w:lineRule="auto"/>
              <w:ind w:left="57"/>
              <w:rPr>
                <w:rFonts w:eastAsia="Calibri" w:cs="Trebuchet MS"/>
                <w:color w:val="000000" w:themeColor="text1"/>
                <w:szCs w:val="22"/>
                <w:lang w:eastAsia="en-US"/>
              </w:rPr>
            </w:pPr>
            <w:r w:rsidRPr="001C04B8">
              <w:rPr>
                <w:szCs w:val="22"/>
              </w:rPr>
              <w:t xml:space="preserve">Măsura corespunde obiectivelor art. 17 - </w:t>
            </w:r>
            <w:r w:rsidRPr="001C04B8">
              <w:rPr>
                <w:rFonts w:cs="EUAlbertina"/>
                <w:bCs/>
                <w:szCs w:val="22"/>
              </w:rPr>
              <w:t>Investiții în active fizice din Reg. (UE) nr. 1305/2013</w:t>
            </w:r>
          </w:p>
        </w:tc>
      </w:tr>
      <w:tr w:rsidR="00DE1124" w:rsidRPr="001C04B8" w14:paraId="26F4BD90" w14:textId="77777777" w:rsidTr="00954C0B">
        <w:trPr>
          <w:trHeight w:val="440"/>
          <w:jc w:val="center"/>
        </w:trPr>
        <w:tc>
          <w:tcPr>
            <w:tcW w:w="1736" w:type="pct"/>
            <w:gridSpan w:val="2"/>
            <w:vAlign w:val="center"/>
          </w:tcPr>
          <w:p w14:paraId="4579D2E5" w14:textId="77777777" w:rsidR="00DE1124" w:rsidRPr="001C04B8" w:rsidRDefault="00DE1124" w:rsidP="00DE1124">
            <w:pPr>
              <w:pStyle w:val="ListParagraph"/>
              <w:numPr>
                <w:ilvl w:val="0"/>
                <w:numId w:val="7"/>
              </w:numPr>
              <w:spacing w:line="276" w:lineRule="auto"/>
              <w:ind w:left="510" w:hanging="510"/>
              <w:jc w:val="left"/>
              <w:rPr>
                <w:b/>
                <w:color w:val="000000" w:themeColor="text1"/>
                <w:szCs w:val="22"/>
              </w:rPr>
            </w:pPr>
            <w:r w:rsidRPr="001C04B8">
              <w:rPr>
                <w:b/>
                <w:color w:val="000000" w:themeColor="text1"/>
                <w:szCs w:val="22"/>
              </w:rPr>
              <w:t>Contribuția la domeniile de intervenție prevăzute la art.5, Reg.(UE) nr.1305/2013</w:t>
            </w:r>
          </w:p>
        </w:tc>
        <w:tc>
          <w:tcPr>
            <w:tcW w:w="3264" w:type="pct"/>
            <w:gridSpan w:val="3"/>
            <w:vAlign w:val="center"/>
          </w:tcPr>
          <w:p w14:paraId="6D9C79AC" w14:textId="77777777" w:rsidR="00DE1124" w:rsidRPr="001C04B8" w:rsidRDefault="00DE1124" w:rsidP="00954C0B">
            <w:pPr>
              <w:pStyle w:val="CM1"/>
              <w:spacing w:line="276" w:lineRule="auto"/>
              <w:ind w:left="57"/>
              <w:jc w:val="both"/>
              <w:rPr>
                <w:rFonts w:ascii="Trebuchet MS" w:hAnsi="Trebuchet MS" w:cs="EUAlbertina"/>
                <w:color w:val="000000"/>
                <w:sz w:val="22"/>
                <w:szCs w:val="22"/>
              </w:rPr>
            </w:pPr>
            <w:r w:rsidRPr="001C04B8">
              <w:rPr>
                <w:rFonts w:ascii="Trebuchet MS" w:hAnsi="Trebuchet MS"/>
                <w:sz w:val="22"/>
                <w:szCs w:val="22"/>
              </w:rPr>
              <w:t xml:space="preserve">Măsura contribuie la Domeniul de Intervenție 2A: </w:t>
            </w:r>
            <w:r w:rsidRPr="001C04B8">
              <w:rPr>
                <w:rFonts w:ascii="Trebuchet MS" w:hAnsi="Trebuchet MS" w:cs="EUAlbertina"/>
                <w:color w:val="000000"/>
                <w:sz w:val="22"/>
                <w:szCs w:val="22"/>
              </w:rPr>
              <w:t>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p>
        </w:tc>
      </w:tr>
      <w:tr w:rsidR="00DE1124" w:rsidRPr="001C04B8" w14:paraId="101A3B1C" w14:textId="77777777" w:rsidTr="00954C0B">
        <w:trPr>
          <w:trHeight w:val="530"/>
          <w:jc w:val="center"/>
        </w:trPr>
        <w:tc>
          <w:tcPr>
            <w:tcW w:w="1736" w:type="pct"/>
            <w:gridSpan w:val="2"/>
            <w:vAlign w:val="center"/>
          </w:tcPr>
          <w:p w14:paraId="1618FD61" w14:textId="77777777" w:rsidR="00DE1124" w:rsidRPr="001C04B8" w:rsidRDefault="00DE1124" w:rsidP="00DE1124">
            <w:pPr>
              <w:pStyle w:val="ListParagraph"/>
              <w:numPr>
                <w:ilvl w:val="0"/>
                <w:numId w:val="7"/>
              </w:numPr>
              <w:spacing w:line="276" w:lineRule="auto"/>
              <w:ind w:left="510" w:hanging="510"/>
              <w:jc w:val="left"/>
              <w:rPr>
                <w:b/>
                <w:color w:val="000000" w:themeColor="text1"/>
                <w:szCs w:val="22"/>
              </w:rPr>
            </w:pPr>
            <w:r w:rsidRPr="001C04B8">
              <w:rPr>
                <w:b/>
                <w:color w:val="000000" w:themeColor="text1"/>
                <w:szCs w:val="22"/>
              </w:rPr>
              <w:t>Contribuția la obiectivele transversale ale Reg.(UE) 1305/2013</w:t>
            </w:r>
          </w:p>
        </w:tc>
        <w:tc>
          <w:tcPr>
            <w:tcW w:w="3264" w:type="pct"/>
            <w:gridSpan w:val="3"/>
            <w:vAlign w:val="center"/>
          </w:tcPr>
          <w:p w14:paraId="57BD3154" w14:textId="77777777" w:rsidR="00DE1124" w:rsidRPr="001C04B8" w:rsidRDefault="00DE1124" w:rsidP="00954C0B">
            <w:pPr>
              <w:spacing w:line="276" w:lineRule="auto"/>
              <w:ind w:left="57"/>
              <w:rPr>
                <w:szCs w:val="22"/>
              </w:rPr>
            </w:pPr>
            <w:r w:rsidRPr="001C04B8">
              <w:rPr>
                <w:szCs w:val="22"/>
              </w:rPr>
              <w:t xml:space="preserve">Măsura contribuie la toate obiectivele transversale ale Reg. (UE) 1305/2013, respectiv </w:t>
            </w:r>
            <w:r w:rsidRPr="001C04B8">
              <w:rPr>
                <w:b/>
                <w:szCs w:val="22"/>
              </w:rPr>
              <w:t>climă, mediu și inovare</w:t>
            </w:r>
            <w:r w:rsidRPr="001C04B8">
              <w:rPr>
                <w:szCs w:val="22"/>
              </w:rPr>
              <w:t>, prin această măsură existând posibilitatea de a realiza proiecte prin care să fie utilizate resurse regenerabile de producere a energiei și care să răspundă cerințelor privind eco-condiționalitatea și măsurilor de înverzire, conducând la o activitate agricolă sustenabilă. Sprijinul vizează, totodată, adaptarea fermelor mici la schimbările climatice și reducerea vulnerabilității acestora. Nu în ultimul rând, prin această măsură se vor facilita procesele inovatoare în sectorul agro-alimentar, tinerii fermieri fiind mai deschiși să aplice tehnologii şi proceselor noi care deschid noi oportunități şi posibilități pentru adoptarea de metode noi și utilizarea de tehnologii inovatoare.</w:t>
            </w:r>
          </w:p>
        </w:tc>
      </w:tr>
      <w:tr w:rsidR="00DE1124" w:rsidRPr="001C04B8" w14:paraId="6D288210" w14:textId="77777777" w:rsidTr="00954C0B">
        <w:trPr>
          <w:trHeight w:val="440"/>
          <w:jc w:val="center"/>
        </w:trPr>
        <w:tc>
          <w:tcPr>
            <w:tcW w:w="1736" w:type="pct"/>
            <w:gridSpan w:val="2"/>
            <w:shd w:val="clear" w:color="auto" w:fill="auto"/>
            <w:vAlign w:val="center"/>
          </w:tcPr>
          <w:p w14:paraId="595A619C" w14:textId="77777777" w:rsidR="00DE1124" w:rsidRPr="001C04B8" w:rsidRDefault="00DE1124" w:rsidP="00DE1124">
            <w:pPr>
              <w:pStyle w:val="ListParagraph"/>
              <w:numPr>
                <w:ilvl w:val="0"/>
                <w:numId w:val="7"/>
              </w:numPr>
              <w:spacing w:line="276" w:lineRule="auto"/>
              <w:ind w:left="510" w:hanging="510"/>
              <w:jc w:val="left"/>
              <w:rPr>
                <w:b/>
                <w:color w:val="000000" w:themeColor="text1"/>
                <w:szCs w:val="22"/>
              </w:rPr>
            </w:pPr>
            <w:r w:rsidRPr="001C04B8">
              <w:rPr>
                <w:b/>
                <w:color w:val="000000" w:themeColor="text1"/>
                <w:szCs w:val="22"/>
              </w:rPr>
              <w:t>Complementaritate cu alte măsuri din SDL</w:t>
            </w:r>
          </w:p>
        </w:tc>
        <w:tc>
          <w:tcPr>
            <w:tcW w:w="3264" w:type="pct"/>
            <w:gridSpan w:val="3"/>
            <w:shd w:val="clear" w:color="auto" w:fill="auto"/>
            <w:vAlign w:val="center"/>
          </w:tcPr>
          <w:p w14:paraId="7B5F7F9A" w14:textId="77777777" w:rsidR="00DE1124" w:rsidRPr="001C04B8" w:rsidRDefault="00DE1124" w:rsidP="00954C0B">
            <w:pPr>
              <w:spacing w:line="276" w:lineRule="auto"/>
              <w:ind w:left="57"/>
              <w:rPr>
                <w:szCs w:val="22"/>
              </w:rPr>
            </w:pPr>
            <w:r w:rsidRPr="001C04B8">
              <w:rPr>
                <w:szCs w:val="22"/>
              </w:rPr>
              <w:t>Măsura este complementară altor măsuri prin faptul că beneficiarii direcți/indirecți vizați prin aceasta sunt incluși în categoriile de beneficiari direcți/indirecți (grupurile țintă) ai următoarelor măsuri din SDL:</w:t>
            </w:r>
          </w:p>
          <w:p w14:paraId="19AF204C" w14:textId="77777777" w:rsidR="00DE1124" w:rsidRPr="001C04B8" w:rsidRDefault="00DE1124" w:rsidP="00DE1124">
            <w:pPr>
              <w:pStyle w:val="ListParagraph"/>
              <w:numPr>
                <w:ilvl w:val="0"/>
                <w:numId w:val="2"/>
              </w:numPr>
              <w:spacing w:line="276" w:lineRule="auto"/>
              <w:ind w:left="417"/>
              <w:jc w:val="left"/>
              <w:rPr>
                <w:szCs w:val="22"/>
              </w:rPr>
            </w:pPr>
            <w:r w:rsidRPr="001C04B8">
              <w:rPr>
                <w:szCs w:val="22"/>
              </w:rPr>
              <w:t>M9/1C – Formare si transfer de cunostințe</w:t>
            </w:r>
          </w:p>
          <w:p w14:paraId="6E76C611" w14:textId="77777777" w:rsidR="00DE1124" w:rsidRPr="001C04B8" w:rsidRDefault="00DE1124" w:rsidP="00DE1124">
            <w:pPr>
              <w:pStyle w:val="ListParagraph"/>
              <w:numPr>
                <w:ilvl w:val="0"/>
                <w:numId w:val="2"/>
              </w:numPr>
              <w:spacing w:line="276" w:lineRule="auto"/>
              <w:ind w:left="417"/>
              <w:jc w:val="left"/>
              <w:rPr>
                <w:szCs w:val="22"/>
              </w:rPr>
            </w:pPr>
            <w:r w:rsidRPr="001C04B8">
              <w:rPr>
                <w:szCs w:val="22"/>
              </w:rPr>
              <w:t>M10/1A - Informare si activităţi demonstrative</w:t>
            </w:r>
          </w:p>
          <w:p w14:paraId="5D997ECC" w14:textId="77777777" w:rsidR="00DE1124" w:rsidRPr="001C04B8" w:rsidRDefault="00DE1124" w:rsidP="00DE1124">
            <w:pPr>
              <w:pStyle w:val="ListParagraph"/>
              <w:numPr>
                <w:ilvl w:val="0"/>
                <w:numId w:val="2"/>
              </w:numPr>
              <w:spacing w:line="276" w:lineRule="auto"/>
              <w:ind w:left="417"/>
              <w:jc w:val="left"/>
              <w:rPr>
                <w:szCs w:val="22"/>
              </w:rPr>
            </w:pPr>
            <w:r w:rsidRPr="001C04B8">
              <w:rPr>
                <w:szCs w:val="22"/>
              </w:rPr>
              <w:t>M6/2B - Instalarea tinerilor fermieri</w:t>
            </w:r>
          </w:p>
          <w:p w14:paraId="64A2456E" w14:textId="77777777" w:rsidR="00DE1124" w:rsidRPr="001C04B8" w:rsidRDefault="00DE1124" w:rsidP="00DE1124">
            <w:pPr>
              <w:pStyle w:val="ListParagraph"/>
              <w:numPr>
                <w:ilvl w:val="0"/>
                <w:numId w:val="2"/>
              </w:numPr>
              <w:spacing w:line="276" w:lineRule="auto"/>
              <w:ind w:left="417"/>
              <w:jc w:val="left"/>
              <w:rPr>
                <w:szCs w:val="22"/>
              </w:rPr>
            </w:pPr>
            <w:r w:rsidRPr="001C04B8">
              <w:rPr>
                <w:szCs w:val="22"/>
              </w:rPr>
              <w:lastRenderedPageBreak/>
              <w:t>M8/3A - Sprijin pentru înfiinţarea si dezvoltarea structurilor asociative</w:t>
            </w:r>
          </w:p>
          <w:p w14:paraId="404E6753" w14:textId="77777777" w:rsidR="00DE1124" w:rsidRPr="001C04B8" w:rsidRDefault="00DE1124" w:rsidP="00DE1124">
            <w:pPr>
              <w:pStyle w:val="ListParagraph"/>
              <w:numPr>
                <w:ilvl w:val="0"/>
                <w:numId w:val="2"/>
              </w:numPr>
              <w:spacing w:line="276" w:lineRule="auto"/>
              <w:ind w:left="417"/>
              <w:jc w:val="left"/>
              <w:rPr>
                <w:szCs w:val="22"/>
              </w:rPr>
            </w:pPr>
            <w:r w:rsidRPr="001C04B8">
              <w:rPr>
                <w:szCs w:val="22"/>
              </w:rPr>
              <w:t>M4/6A - Înfiinţarea activităţilor neagricole</w:t>
            </w:r>
          </w:p>
          <w:p w14:paraId="1ADEB73E" w14:textId="77777777" w:rsidR="00DE1124" w:rsidRPr="001C04B8" w:rsidRDefault="00DE1124" w:rsidP="00DE1124">
            <w:pPr>
              <w:pStyle w:val="ListParagraph"/>
              <w:numPr>
                <w:ilvl w:val="0"/>
                <w:numId w:val="2"/>
              </w:numPr>
              <w:spacing w:line="276" w:lineRule="auto"/>
              <w:ind w:left="417"/>
              <w:jc w:val="left"/>
              <w:rPr>
                <w:szCs w:val="22"/>
              </w:rPr>
            </w:pPr>
            <w:r w:rsidRPr="001C04B8">
              <w:rPr>
                <w:szCs w:val="22"/>
              </w:rPr>
              <w:t>M5/6A - Dezvoltarea activităţilor neagricole</w:t>
            </w:r>
          </w:p>
        </w:tc>
      </w:tr>
      <w:tr w:rsidR="00DE1124" w:rsidRPr="001C04B8" w14:paraId="375A4D3D" w14:textId="77777777" w:rsidTr="00954C0B">
        <w:trPr>
          <w:trHeight w:val="971"/>
          <w:jc w:val="center"/>
        </w:trPr>
        <w:tc>
          <w:tcPr>
            <w:tcW w:w="1736" w:type="pct"/>
            <w:gridSpan w:val="2"/>
            <w:shd w:val="clear" w:color="auto" w:fill="auto"/>
            <w:vAlign w:val="center"/>
          </w:tcPr>
          <w:p w14:paraId="46129706" w14:textId="77777777" w:rsidR="00DE1124" w:rsidRPr="001C04B8" w:rsidRDefault="00DE1124" w:rsidP="00DE1124">
            <w:pPr>
              <w:pStyle w:val="ListParagraph"/>
              <w:numPr>
                <w:ilvl w:val="0"/>
                <w:numId w:val="7"/>
              </w:numPr>
              <w:spacing w:line="276" w:lineRule="auto"/>
              <w:ind w:left="624" w:hanging="624"/>
              <w:jc w:val="left"/>
              <w:rPr>
                <w:b/>
                <w:color w:val="000000" w:themeColor="text1"/>
                <w:szCs w:val="22"/>
              </w:rPr>
            </w:pPr>
            <w:r w:rsidRPr="001C04B8">
              <w:rPr>
                <w:b/>
                <w:color w:val="000000" w:themeColor="text1"/>
                <w:szCs w:val="22"/>
              </w:rPr>
              <w:lastRenderedPageBreak/>
              <w:t>Sinergia cu alte măsuri din SDL</w:t>
            </w:r>
          </w:p>
        </w:tc>
        <w:tc>
          <w:tcPr>
            <w:tcW w:w="3264" w:type="pct"/>
            <w:gridSpan w:val="3"/>
            <w:shd w:val="clear" w:color="auto" w:fill="auto"/>
            <w:vAlign w:val="center"/>
          </w:tcPr>
          <w:p w14:paraId="52389AB8" w14:textId="77777777" w:rsidR="00DE1124" w:rsidRPr="001C04B8" w:rsidRDefault="00DE1124" w:rsidP="00954C0B">
            <w:pPr>
              <w:spacing w:line="276" w:lineRule="auto"/>
              <w:rPr>
                <w:szCs w:val="22"/>
              </w:rPr>
            </w:pPr>
            <w:r w:rsidRPr="001C04B8">
              <w:rPr>
                <w:szCs w:val="22"/>
              </w:rPr>
              <w:t>Măsura creează sinergie cu următoarele măsuri din SDL, prin contribuția fiecăreia la realizarea priorității 2:</w:t>
            </w:r>
          </w:p>
          <w:p w14:paraId="60946101" w14:textId="77777777" w:rsidR="00DE1124" w:rsidRPr="001C04B8" w:rsidRDefault="00DE1124" w:rsidP="00DE1124">
            <w:pPr>
              <w:pStyle w:val="ListParagraph"/>
              <w:numPr>
                <w:ilvl w:val="0"/>
                <w:numId w:val="2"/>
              </w:numPr>
              <w:spacing w:line="276" w:lineRule="auto"/>
              <w:ind w:left="417"/>
              <w:jc w:val="left"/>
              <w:rPr>
                <w:szCs w:val="22"/>
              </w:rPr>
            </w:pPr>
            <w:r w:rsidRPr="001C04B8">
              <w:rPr>
                <w:szCs w:val="22"/>
              </w:rPr>
              <w:t>M6/2B - Instalarea tinerilor fermieri</w:t>
            </w:r>
          </w:p>
        </w:tc>
      </w:tr>
      <w:tr w:rsidR="00DE1124" w:rsidRPr="001C04B8" w14:paraId="4786834E" w14:textId="77777777" w:rsidTr="00954C0B">
        <w:trPr>
          <w:trHeight w:val="350"/>
          <w:jc w:val="center"/>
        </w:trPr>
        <w:tc>
          <w:tcPr>
            <w:tcW w:w="5000" w:type="pct"/>
            <w:gridSpan w:val="5"/>
            <w:vAlign w:val="center"/>
          </w:tcPr>
          <w:p w14:paraId="1E51E9E4" w14:textId="77777777" w:rsidR="00DE1124" w:rsidRPr="001C04B8" w:rsidRDefault="00DE1124" w:rsidP="00DE1124">
            <w:pPr>
              <w:pStyle w:val="ListParagraph"/>
              <w:numPr>
                <w:ilvl w:val="0"/>
                <w:numId w:val="11"/>
              </w:numPr>
              <w:spacing w:line="276" w:lineRule="auto"/>
              <w:jc w:val="left"/>
              <w:rPr>
                <w:b/>
                <w:color w:val="000000" w:themeColor="text1"/>
                <w:szCs w:val="22"/>
              </w:rPr>
            </w:pPr>
            <w:r w:rsidRPr="001C04B8">
              <w:rPr>
                <w:b/>
                <w:color w:val="000000" w:themeColor="text1"/>
                <w:szCs w:val="22"/>
              </w:rPr>
              <w:t>Valoarea adăugată a măsurii</w:t>
            </w:r>
          </w:p>
        </w:tc>
      </w:tr>
      <w:tr w:rsidR="00DE1124" w:rsidRPr="001C04B8" w14:paraId="522B3ADD" w14:textId="77777777" w:rsidTr="00954C0B">
        <w:trPr>
          <w:trHeight w:val="260"/>
          <w:jc w:val="center"/>
        </w:trPr>
        <w:tc>
          <w:tcPr>
            <w:tcW w:w="5000" w:type="pct"/>
            <w:gridSpan w:val="5"/>
            <w:vAlign w:val="center"/>
          </w:tcPr>
          <w:p w14:paraId="0E681903" w14:textId="77777777" w:rsidR="00DE1124" w:rsidRPr="001C04B8" w:rsidRDefault="00DE1124" w:rsidP="00DE1124">
            <w:pPr>
              <w:pStyle w:val="ListParagraph"/>
              <w:numPr>
                <w:ilvl w:val="0"/>
                <w:numId w:val="8"/>
              </w:numPr>
              <w:spacing w:line="276" w:lineRule="auto"/>
              <w:ind w:left="284" w:hanging="227"/>
              <w:jc w:val="left"/>
              <w:rPr>
                <w:szCs w:val="22"/>
              </w:rPr>
            </w:pPr>
            <w:r w:rsidRPr="001C04B8">
              <w:rPr>
                <w:szCs w:val="22"/>
              </w:rPr>
              <w:t>Măsura creează și păstrează locuri de muncă în teritoriul vizat – vor fi prioritizate proiectele care creează locuri noi de muncă.</w:t>
            </w:r>
          </w:p>
          <w:p w14:paraId="4A943B1E" w14:textId="77777777" w:rsidR="00DE1124" w:rsidRPr="001C04B8" w:rsidRDefault="00DE1124" w:rsidP="00DE1124">
            <w:pPr>
              <w:pStyle w:val="ListParagraph"/>
              <w:numPr>
                <w:ilvl w:val="0"/>
                <w:numId w:val="8"/>
              </w:numPr>
              <w:spacing w:line="276" w:lineRule="auto"/>
              <w:ind w:left="284" w:hanging="227"/>
              <w:jc w:val="left"/>
              <w:rPr>
                <w:szCs w:val="22"/>
              </w:rPr>
            </w:pPr>
            <w:r w:rsidRPr="001C04B8">
              <w:rPr>
                <w:szCs w:val="22"/>
              </w:rPr>
              <w:t>Ajută și încurajează formele asociative între fermieri, unirea resurselor proprii pentru optimizarea producției agricole și produselor din teritoriu – vor fi prioritizați solicitanții care sunt constituiți în formele asociative.</w:t>
            </w:r>
          </w:p>
          <w:p w14:paraId="33ACBC20" w14:textId="77777777" w:rsidR="00DE1124" w:rsidRPr="001C04B8" w:rsidRDefault="00DE1124" w:rsidP="00DE1124">
            <w:pPr>
              <w:pStyle w:val="ListParagraph"/>
              <w:numPr>
                <w:ilvl w:val="0"/>
                <w:numId w:val="8"/>
              </w:numPr>
              <w:spacing w:line="276" w:lineRule="auto"/>
              <w:ind w:left="284" w:hanging="227"/>
              <w:jc w:val="left"/>
              <w:rPr>
                <w:szCs w:val="22"/>
              </w:rPr>
            </w:pPr>
            <w:r w:rsidRPr="001C04B8">
              <w:rPr>
                <w:szCs w:val="22"/>
              </w:rPr>
              <w:t>Măsura încurajează inovarea prin prioritizarea proiectelor care realizează investiţii în active fizice inovative în domeniul producţiei și a procesării agricole</w:t>
            </w:r>
          </w:p>
          <w:p w14:paraId="04B9E362" w14:textId="77777777" w:rsidR="00DE1124" w:rsidRPr="001C04B8" w:rsidRDefault="00DE1124" w:rsidP="00DE1124">
            <w:pPr>
              <w:pStyle w:val="ListParagraph"/>
              <w:numPr>
                <w:ilvl w:val="0"/>
                <w:numId w:val="8"/>
              </w:numPr>
              <w:tabs>
                <w:tab w:val="left" w:pos="446"/>
              </w:tabs>
              <w:autoSpaceDE w:val="0"/>
              <w:autoSpaceDN w:val="0"/>
              <w:adjustRightInd w:val="0"/>
              <w:spacing w:line="276" w:lineRule="auto"/>
              <w:ind w:left="284" w:hanging="227"/>
              <w:rPr>
                <w:rFonts w:cs="Arial"/>
                <w:color w:val="000000" w:themeColor="text1"/>
                <w:szCs w:val="22"/>
              </w:rPr>
            </w:pPr>
            <w:r w:rsidRPr="001C04B8">
              <w:rPr>
                <w:szCs w:val="22"/>
              </w:rPr>
              <w:t>Creșterea competitivității agriculturii</w:t>
            </w:r>
          </w:p>
          <w:p w14:paraId="6A54CC37" w14:textId="77777777" w:rsidR="00DE1124" w:rsidRPr="001C04B8" w:rsidRDefault="00DE1124" w:rsidP="00DE1124">
            <w:pPr>
              <w:pStyle w:val="ListParagraph"/>
              <w:numPr>
                <w:ilvl w:val="0"/>
                <w:numId w:val="8"/>
              </w:numPr>
              <w:spacing w:line="276" w:lineRule="auto"/>
              <w:ind w:left="284" w:hanging="227"/>
              <w:jc w:val="left"/>
              <w:rPr>
                <w:szCs w:val="22"/>
              </w:rPr>
            </w:pPr>
            <w:r w:rsidRPr="001C04B8">
              <w:rPr>
                <w:szCs w:val="22"/>
              </w:rPr>
              <w:t>Întinerirea generațiilor de fermieri și implicit menținerea tineretului în mediul rural;</w:t>
            </w:r>
          </w:p>
        </w:tc>
      </w:tr>
      <w:tr w:rsidR="00DE1124" w:rsidRPr="001C04B8" w14:paraId="008B287C" w14:textId="77777777" w:rsidTr="00954C0B">
        <w:trPr>
          <w:trHeight w:val="350"/>
          <w:jc w:val="center"/>
        </w:trPr>
        <w:tc>
          <w:tcPr>
            <w:tcW w:w="5000" w:type="pct"/>
            <w:gridSpan w:val="5"/>
            <w:vAlign w:val="center"/>
          </w:tcPr>
          <w:p w14:paraId="5F7E04CD" w14:textId="77777777" w:rsidR="00DE1124" w:rsidRPr="001C04B8" w:rsidRDefault="00DE1124" w:rsidP="00DE1124">
            <w:pPr>
              <w:pStyle w:val="ListParagraph"/>
              <w:numPr>
                <w:ilvl w:val="0"/>
                <w:numId w:val="11"/>
              </w:numPr>
              <w:spacing w:line="276" w:lineRule="auto"/>
              <w:jc w:val="left"/>
              <w:rPr>
                <w:b/>
                <w:color w:val="000000" w:themeColor="text1"/>
                <w:szCs w:val="22"/>
              </w:rPr>
            </w:pPr>
            <w:r w:rsidRPr="001C04B8">
              <w:rPr>
                <w:b/>
                <w:color w:val="000000" w:themeColor="text1"/>
                <w:szCs w:val="22"/>
              </w:rPr>
              <w:t>Trimiteri la alte acte legislative</w:t>
            </w:r>
          </w:p>
        </w:tc>
      </w:tr>
      <w:tr w:rsidR="00DE1124" w:rsidRPr="001C04B8" w14:paraId="72427BEB" w14:textId="77777777" w:rsidTr="00954C0B">
        <w:trPr>
          <w:trHeight w:val="511"/>
          <w:jc w:val="center"/>
        </w:trPr>
        <w:tc>
          <w:tcPr>
            <w:tcW w:w="5000" w:type="pct"/>
            <w:gridSpan w:val="5"/>
            <w:vAlign w:val="center"/>
          </w:tcPr>
          <w:p w14:paraId="759CC1C2"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bCs/>
                <w:szCs w:val="22"/>
              </w:rPr>
              <w:t xml:space="preserve">Regulamentul </w:t>
            </w:r>
            <w:r w:rsidRPr="009B0BB0">
              <w:rPr>
                <w:szCs w:val="22"/>
              </w:rPr>
              <w:t xml:space="preserve">(UE) nr.1305/2013 al </w:t>
            </w:r>
            <w:r w:rsidRPr="009B0BB0">
              <w:rPr>
                <w:bCs/>
                <w:szCs w:val="22"/>
              </w:rPr>
              <w:t xml:space="preserve">Parlamentului European și al Consiliului </w:t>
            </w:r>
            <w:r w:rsidRPr="009B0BB0">
              <w:rPr>
                <w:szCs w:val="22"/>
              </w:rPr>
              <w:t>privind sprijinul pentru dezvoltare rurală acordat din Fondul european agricol pentru dezvoltare rurală (FEADR) și de abrogare a Regulamentului (CE) nr.1698/2005 al Consiliului.</w:t>
            </w:r>
          </w:p>
          <w:p w14:paraId="19C22FD5"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 xml:space="preserve">Ordonanța Guvernului nr.37/2005 privind recunoașterea şi funcţionarea grupurilor şi organizațiilor de producători, pentru comercializarea produselor agricole şi silvice, cu modificările și completările ulterioare; </w:t>
            </w:r>
          </w:p>
          <w:p w14:paraId="49B1C33D"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 xml:space="preserve">Ordinul ministrului agriculturii, pădurilor și dezvoltării rurale nr.171/2006 privind aprobarea Normelor de aplicare a Ordonanței Guvernului nr.37/2005 privind recunoașterea şi funcţionarea grupurilor şi organizațiilor de producători, pentru comercializarea produselor agricole şi silvice, aprobată cu modificări şi completări prin Legea nr. 338/2005, cu modificările și completările ulterioare. </w:t>
            </w:r>
          </w:p>
          <w:p w14:paraId="439BD23A"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Regulamentul (UE) nr.1303/2013 al Parlamentului European și al Consiliului din 17 decembrie 2013 de stabilire a unor dispoziții comune privind Fondul european de dezvoltare regională, FSE, Fondul de coeziune, Fondul european agricol pentru</w:t>
            </w:r>
            <w:r w:rsidRPr="009B0BB0">
              <w:rPr>
                <w:bCs/>
                <w:szCs w:val="22"/>
              </w:rPr>
              <w:t xml:space="preserve"> dezvoltare rurală și Fondul european pentru pescuit și afaceri maritime, precum și de stabilire a unor dispoziții generale privind Fondul european de dezvoltare regională, FSE, Fondul de coeziune și Fondul european pentru pescuit și afaceri maritime și de abrogare a Regulamentului (CE) nr.1083/2006 al Consiliului.</w:t>
            </w:r>
          </w:p>
          <w:p w14:paraId="4BDCD775" w14:textId="77777777" w:rsidR="00DE1124" w:rsidRPr="009B0BB0" w:rsidRDefault="00DE1124" w:rsidP="00DE1124">
            <w:pPr>
              <w:pStyle w:val="ListParagraph"/>
              <w:numPr>
                <w:ilvl w:val="0"/>
                <w:numId w:val="8"/>
              </w:numPr>
              <w:spacing w:line="276" w:lineRule="auto"/>
              <w:ind w:left="284" w:hanging="227"/>
              <w:jc w:val="left"/>
              <w:rPr>
                <w:rFonts w:cs="Arial"/>
                <w:szCs w:val="22"/>
              </w:rPr>
            </w:pPr>
            <w:r w:rsidRPr="009B0BB0">
              <w:rPr>
                <w:szCs w:val="22"/>
              </w:rPr>
              <w:t>Regulamentul (UE) nr. 807/2014 al Comisiei de completare a Regulamentului (UE) nr. 1305/2013 al Parlamentului European și al Consiliului privind sprijinul pentru dezvoltare rurală acordat din FEADR și de introducere a unor dispoziții tranzitorii.</w:t>
            </w:r>
          </w:p>
        </w:tc>
      </w:tr>
      <w:tr w:rsidR="00DE1124" w:rsidRPr="001C04B8" w14:paraId="3001131F" w14:textId="77777777" w:rsidTr="00954C0B">
        <w:trPr>
          <w:trHeight w:val="350"/>
          <w:jc w:val="center"/>
        </w:trPr>
        <w:tc>
          <w:tcPr>
            <w:tcW w:w="5000" w:type="pct"/>
            <w:gridSpan w:val="5"/>
            <w:vAlign w:val="center"/>
          </w:tcPr>
          <w:p w14:paraId="7B98CD18" w14:textId="77777777" w:rsidR="00DE1124" w:rsidRPr="009B0BB0" w:rsidRDefault="00DE1124" w:rsidP="00DE1124">
            <w:pPr>
              <w:pStyle w:val="ListParagraph"/>
              <w:numPr>
                <w:ilvl w:val="0"/>
                <w:numId w:val="11"/>
              </w:numPr>
              <w:spacing w:line="276" w:lineRule="auto"/>
              <w:jc w:val="left"/>
              <w:rPr>
                <w:b/>
                <w:szCs w:val="22"/>
              </w:rPr>
            </w:pPr>
            <w:r w:rsidRPr="009B0BB0">
              <w:rPr>
                <w:b/>
                <w:szCs w:val="22"/>
              </w:rPr>
              <w:t>Beneficiari direcți/indirecți</w:t>
            </w:r>
          </w:p>
        </w:tc>
      </w:tr>
      <w:tr w:rsidR="00DE1124" w:rsidRPr="001C04B8" w14:paraId="13CBCDAD" w14:textId="77777777" w:rsidTr="00954C0B">
        <w:trPr>
          <w:trHeight w:val="962"/>
          <w:jc w:val="center"/>
        </w:trPr>
        <w:tc>
          <w:tcPr>
            <w:tcW w:w="1713" w:type="pct"/>
            <w:shd w:val="clear" w:color="auto" w:fill="auto"/>
            <w:vAlign w:val="center"/>
          </w:tcPr>
          <w:p w14:paraId="34475A6A" w14:textId="77777777" w:rsidR="00DE1124" w:rsidRPr="009B0BB0" w:rsidRDefault="00DE1124" w:rsidP="00DE1124">
            <w:pPr>
              <w:pStyle w:val="ListParagraph"/>
              <w:numPr>
                <w:ilvl w:val="0"/>
                <w:numId w:val="12"/>
              </w:numPr>
              <w:spacing w:line="276" w:lineRule="auto"/>
              <w:jc w:val="left"/>
              <w:rPr>
                <w:b/>
                <w:szCs w:val="22"/>
              </w:rPr>
            </w:pPr>
            <w:r w:rsidRPr="009B0BB0">
              <w:rPr>
                <w:b/>
                <w:szCs w:val="22"/>
              </w:rPr>
              <w:lastRenderedPageBreak/>
              <w:t>Beneficiari direcți</w:t>
            </w:r>
          </w:p>
        </w:tc>
        <w:tc>
          <w:tcPr>
            <w:tcW w:w="3287" w:type="pct"/>
            <w:gridSpan w:val="4"/>
            <w:shd w:val="clear" w:color="auto" w:fill="auto"/>
            <w:vAlign w:val="center"/>
          </w:tcPr>
          <w:p w14:paraId="3064594B" w14:textId="77777777" w:rsidR="00DE1124" w:rsidRPr="009B0BB0" w:rsidRDefault="00DE1124" w:rsidP="00DE1124">
            <w:pPr>
              <w:pStyle w:val="ListParagraph"/>
              <w:numPr>
                <w:ilvl w:val="0"/>
                <w:numId w:val="8"/>
              </w:numPr>
              <w:spacing w:line="276" w:lineRule="auto"/>
              <w:ind w:left="284" w:hanging="227"/>
              <w:jc w:val="left"/>
              <w:rPr>
                <w:szCs w:val="22"/>
              </w:rPr>
            </w:pPr>
            <w:bookmarkStart w:id="0" w:name="_Hlk523171093"/>
            <w:r w:rsidRPr="009B0BB0">
              <w:rPr>
                <w:szCs w:val="22"/>
              </w:rPr>
              <w:t xml:space="preserve">fermieri, cu excepția persoanelor fizice neautorizate; </w:t>
            </w:r>
          </w:p>
          <w:p w14:paraId="14C26259" w14:textId="77777777" w:rsidR="00DE1124" w:rsidRPr="00E70923" w:rsidRDefault="00DE1124" w:rsidP="00DE1124">
            <w:pPr>
              <w:pStyle w:val="ListParagraph"/>
              <w:numPr>
                <w:ilvl w:val="0"/>
                <w:numId w:val="8"/>
              </w:numPr>
              <w:spacing w:line="276" w:lineRule="auto"/>
              <w:ind w:left="284" w:hanging="227"/>
              <w:jc w:val="left"/>
              <w:rPr>
                <w:rFonts w:cs="Calibri"/>
                <w:szCs w:val="22"/>
              </w:rPr>
            </w:pPr>
            <w:r w:rsidRPr="009B0BB0">
              <w:rPr>
                <w:szCs w:val="22"/>
              </w:rPr>
              <w:t xml:space="preserve">grupuri de fermieri prin forme asociative </w:t>
            </w:r>
            <w:r w:rsidRPr="009B0BB0">
              <w:rPr>
                <w:b/>
                <w:szCs w:val="22"/>
              </w:rPr>
              <w:t>(</w:t>
            </w:r>
            <w:r w:rsidRPr="009B0BB0">
              <w:rPr>
                <w:rFonts w:eastAsia="MS Mincho"/>
                <w:b/>
                <w:bCs/>
              </w:rPr>
              <w:t xml:space="preserve">forme asociative înființate și finanțate prin măsura </w:t>
            </w:r>
            <w:r w:rsidRPr="009B0BB0">
              <w:rPr>
                <w:rFonts w:eastAsia="MS Mincho" w:cs="Times New Roman"/>
                <w:b/>
                <w:bCs/>
                <w:i/>
                <w:lang w:eastAsia="en-US"/>
              </w:rPr>
              <w:t>M8/3A</w:t>
            </w:r>
            <w:r w:rsidRPr="009B0BB0">
              <w:rPr>
                <w:rFonts w:eastAsia="MS Mincho"/>
                <w:b/>
                <w:bCs/>
                <w:i/>
              </w:rPr>
              <w:t xml:space="preserve"> Sprijin pentru înființarea și dezvoltarea de structuri asociative </w:t>
            </w:r>
            <w:r w:rsidRPr="009B0BB0">
              <w:rPr>
                <w:rFonts w:eastAsia="MS Mincho"/>
                <w:b/>
                <w:bCs/>
              </w:rPr>
              <w:t>din cadrul SDL-ului</w:t>
            </w:r>
            <w:r w:rsidRPr="009B0BB0">
              <w:rPr>
                <w:b/>
                <w:szCs w:val="22"/>
              </w:rPr>
              <w:t>)</w:t>
            </w:r>
          </w:p>
          <w:p w14:paraId="0043AA7B" w14:textId="77777777" w:rsidR="00DE1124" w:rsidRDefault="00DE1124" w:rsidP="00DE1124">
            <w:pPr>
              <w:pStyle w:val="ListParagraph"/>
              <w:numPr>
                <w:ilvl w:val="0"/>
                <w:numId w:val="8"/>
              </w:numPr>
              <w:spacing w:line="276" w:lineRule="auto"/>
              <w:ind w:left="284" w:hanging="227"/>
              <w:jc w:val="left"/>
              <w:rPr>
                <w:rFonts w:cs="Calibri"/>
                <w:szCs w:val="22"/>
              </w:rPr>
            </w:pPr>
            <w:r>
              <w:rPr>
                <w:rFonts w:cs="Calibri"/>
                <w:szCs w:val="22"/>
              </w:rPr>
              <w:t>cooperative</w:t>
            </w:r>
          </w:p>
          <w:p w14:paraId="3EEFE25D" w14:textId="77777777" w:rsidR="00DE1124" w:rsidRPr="009B0BB0" w:rsidRDefault="00DE1124" w:rsidP="00DE1124">
            <w:pPr>
              <w:pStyle w:val="ListParagraph"/>
              <w:numPr>
                <w:ilvl w:val="0"/>
                <w:numId w:val="8"/>
              </w:numPr>
              <w:spacing w:line="276" w:lineRule="auto"/>
              <w:ind w:left="284" w:hanging="227"/>
              <w:jc w:val="left"/>
              <w:rPr>
                <w:rFonts w:cs="Calibri"/>
                <w:szCs w:val="22"/>
              </w:rPr>
            </w:pPr>
            <w:r>
              <w:rPr>
                <w:rFonts w:cs="Calibri"/>
                <w:szCs w:val="22"/>
              </w:rPr>
              <w:t>grupuri de producători</w:t>
            </w:r>
            <w:bookmarkEnd w:id="0"/>
          </w:p>
        </w:tc>
      </w:tr>
      <w:tr w:rsidR="00DE1124" w:rsidRPr="001C04B8" w14:paraId="0E554D53" w14:textId="77777777" w:rsidTr="00954C0B">
        <w:trPr>
          <w:trHeight w:val="440"/>
          <w:jc w:val="center"/>
        </w:trPr>
        <w:tc>
          <w:tcPr>
            <w:tcW w:w="1713" w:type="pct"/>
            <w:shd w:val="clear" w:color="auto" w:fill="auto"/>
            <w:vAlign w:val="center"/>
          </w:tcPr>
          <w:p w14:paraId="0C9E1714" w14:textId="77777777" w:rsidR="00DE1124" w:rsidRPr="009B0BB0" w:rsidRDefault="00DE1124" w:rsidP="00DE1124">
            <w:pPr>
              <w:pStyle w:val="ListParagraph"/>
              <w:numPr>
                <w:ilvl w:val="0"/>
                <w:numId w:val="12"/>
              </w:numPr>
              <w:spacing w:line="276" w:lineRule="auto"/>
              <w:ind w:left="567" w:hanging="510"/>
              <w:jc w:val="left"/>
              <w:rPr>
                <w:b/>
                <w:szCs w:val="22"/>
              </w:rPr>
            </w:pPr>
            <w:r w:rsidRPr="009B0BB0">
              <w:rPr>
                <w:b/>
                <w:szCs w:val="22"/>
              </w:rPr>
              <w:t>Beneficiarii indirecți</w:t>
            </w:r>
          </w:p>
        </w:tc>
        <w:tc>
          <w:tcPr>
            <w:tcW w:w="3287" w:type="pct"/>
            <w:gridSpan w:val="4"/>
            <w:shd w:val="clear" w:color="auto" w:fill="auto"/>
            <w:vAlign w:val="center"/>
          </w:tcPr>
          <w:p w14:paraId="27E81AB5" w14:textId="77777777" w:rsidR="00DE1124" w:rsidRPr="009B0BB0" w:rsidRDefault="00DE1124" w:rsidP="00DE1124">
            <w:pPr>
              <w:numPr>
                <w:ilvl w:val="0"/>
                <w:numId w:val="5"/>
              </w:numPr>
              <w:spacing w:line="276" w:lineRule="auto"/>
              <w:ind w:left="57"/>
              <w:jc w:val="left"/>
              <w:rPr>
                <w:szCs w:val="22"/>
              </w:rPr>
            </w:pPr>
            <w:r w:rsidRPr="009B0BB0">
              <w:rPr>
                <w:szCs w:val="22"/>
              </w:rPr>
              <w:t xml:space="preserve">Populația activă a teritoriului </w:t>
            </w:r>
            <w:r w:rsidRPr="009B0BB0">
              <w:rPr>
                <w:b/>
                <w:szCs w:val="22"/>
              </w:rPr>
              <w:t>GAL Someș Transilvan</w:t>
            </w:r>
            <w:r w:rsidRPr="009B0BB0">
              <w:rPr>
                <w:szCs w:val="22"/>
              </w:rPr>
              <w:t xml:space="preserve"> care se află în căutarea unui loc de muncă.</w:t>
            </w:r>
          </w:p>
        </w:tc>
      </w:tr>
      <w:tr w:rsidR="00DE1124" w:rsidRPr="001C04B8" w14:paraId="5E9E2363" w14:textId="77777777" w:rsidTr="00954C0B">
        <w:trPr>
          <w:trHeight w:val="259"/>
          <w:jc w:val="center"/>
        </w:trPr>
        <w:tc>
          <w:tcPr>
            <w:tcW w:w="5000" w:type="pct"/>
            <w:gridSpan w:val="5"/>
            <w:vAlign w:val="center"/>
          </w:tcPr>
          <w:p w14:paraId="79842C23" w14:textId="77777777" w:rsidR="00DE1124" w:rsidRPr="009B0BB0" w:rsidRDefault="00DE1124" w:rsidP="00DE1124">
            <w:pPr>
              <w:pStyle w:val="ListParagraph"/>
              <w:numPr>
                <w:ilvl w:val="0"/>
                <w:numId w:val="11"/>
              </w:numPr>
              <w:spacing w:line="276" w:lineRule="auto"/>
              <w:jc w:val="left"/>
              <w:rPr>
                <w:b/>
                <w:szCs w:val="22"/>
              </w:rPr>
            </w:pPr>
            <w:r w:rsidRPr="009B0BB0">
              <w:rPr>
                <w:b/>
                <w:szCs w:val="22"/>
              </w:rPr>
              <w:t>Tip de sprijin (conform art. 67 din Reg. (UE) nr.1303/2013)</w:t>
            </w:r>
          </w:p>
        </w:tc>
      </w:tr>
      <w:tr w:rsidR="00DE1124" w:rsidRPr="001C04B8" w14:paraId="43A90469" w14:textId="77777777" w:rsidTr="00954C0B">
        <w:trPr>
          <w:trHeight w:val="1301"/>
          <w:jc w:val="center"/>
        </w:trPr>
        <w:tc>
          <w:tcPr>
            <w:tcW w:w="5000" w:type="pct"/>
            <w:gridSpan w:val="5"/>
            <w:vAlign w:val="center"/>
          </w:tcPr>
          <w:p w14:paraId="73C083B9"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Rambursarea costurilor eligibile suportate şi plătite efectiv de solicitant.</w:t>
            </w:r>
          </w:p>
          <w:p w14:paraId="3B8A4C97"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Plăţi în avans, cu condiţia constituirii unei garanții echivalente corespunzătoare procentului de 100% din valoarea avansului, în conformitate cu art.45(4) şi art.63 ale Reg.(UE) nr. 1305/2013.</w:t>
            </w:r>
          </w:p>
        </w:tc>
      </w:tr>
      <w:tr w:rsidR="00DE1124" w:rsidRPr="001C04B8" w14:paraId="1909DB50" w14:textId="77777777" w:rsidTr="00954C0B">
        <w:trPr>
          <w:trHeight w:val="316"/>
          <w:jc w:val="center"/>
        </w:trPr>
        <w:tc>
          <w:tcPr>
            <w:tcW w:w="5000" w:type="pct"/>
            <w:gridSpan w:val="5"/>
            <w:vAlign w:val="center"/>
          </w:tcPr>
          <w:p w14:paraId="461B1BE4" w14:textId="77777777" w:rsidR="00DE1124" w:rsidRPr="009B0BB0" w:rsidRDefault="00DE1124" w:rsidP="00DE1124">
            <w:pPr>
              <w:pStyle w:val="ListParagraph"/>
              <w:numPr>
                <w:ilvl w:val="0"/>
                <w:numId w:val="11"/>
              </w:numPr>
              <w:spacing w:line="276" w:lineRule="auto"/>
              <w:jc w:val="left"/>
              <w:rPr>
                <w:rFonts w:cs="Arial"/>
                <w:szCs w:val="22"/>
              </w:rPr>
            </w:pPr>
            <w:r w:rsidRPr="009B0BB0">
              <w:rPr>
                <w:b/>
                <w:szCs w:val="22"/>
              </w:rPr>
              <w:t>Tipuri de acțiuni eligibile și neeligibile</w:t>
            </w:r>
          </w:p>
        </w:tc>
      </w:tr>
      <w:tr w:rsidR="00DE1124" w:rsidRPr="001C04B8" w14:paraId="73742DFB" w14:textId="77777777" w:rsidTr="00954C0B">
        <w:trPr>
          <w:trHeight w:val="242"/>
          <w:jc w:val="center"/>
        </w:trPr>
        <w:tc>
          <w:tcPr>
            <w:tcW w:w="5000" w:type="pct"/>
            <w:gridSpan w:val="5"/>
            <w:vAlign w:val="center"/>
          </w:tcPr>
          <w:p w14:paraId="2A2F4B9A" w14:textId="77777777" w:rsidR="00DE1124" w:rsidRPr="009B0BB0" w:rsidRDefault="00DE1124" w:rsidP="00DE1124">
            <w:pPr>
              <w:pStyle w:val="ListParagraph"/>
              <w:numPr>
                <w:ilvl w:val="0"/>
                <w:numId w:val="6"/>
              </w:numPr>
              <w:spacing w:line="276" w:lineRule="auto"/>
              <w:jc w:val="left"/>
              <w:rPr>
                <w:szCs w:val="22"/>
              </w:rPr>
            </w:pPr>
            <w:r w:rsidRPr="009B0BB0">
              <w:rPr>
                <w:b/>
                <w:szCs w:val="22"/>
              </w:rPr>
              <w:t xml:space="preserve">Tipuri de acțiuni eligibile </w:t>
            </w:r>
          </w:p>
        </w:tc>
      </w:tr>
      <w:tr w:rsidR="00DE1124" w:rsidRPr="001C04B8" w14:paraId="0A29D5E3" w14:textId="77777777" w:rsidTr="00954C0B">
        <w:trPr>
          <w:trHeight w:val="458"/>
          <w:jc w:val="center"/>
        </w:trPr>
        <w:tc>
          <w:tcPr>
            <w:tcW w:w="5000" w:type="pct"/>
            <w:gridSpan w:val="5"/>
            <w:vAlign w:val="center"/>
          </w:tcPr>
          <w:p w14:paraId="4B14EA9F" w14:textId="77777777" w:rsidR="00DE1124" w:rsidRPr="00A44C13" w:rsidRDefault="00DE1124" w:rsidP="0016236F">
            <w:pPr>
              <w:pStyle w:val="ListParagraph"/>
              <w:numPr>
                <w:ilvl w:val="0"/>
                <w:numId w:val="13"/>
              </w:numPr>
              <w:spacing w:line="276" w:lineRule="auto"/>
              <w:jc w:val="left"/>
              <w:rPr>
                <w:szCs w:val="22"/>
              </w:rPr>
            </w:pPr>
            <w:bookmarkStart w:id="1" w:name="_Hlk523171135"/>
            <w:r w:rsidRPr="00A44C13">
              <w:rPr>
                <w:szCs w:val="22"/>
              </w:rPr>
              <w:t>Investiții în înființarea, extinderea şi/sau modernizarea fermelor zootehnice, inclusiv tehnologii eficiente de reducerea emisiilor poluării și respectarea standardelor Uniunii care vor deveni obligatorii pentru exploatatii în viitorul apropiat, și cele pentru depozitarea/gestionarea adecvată a gunoiului de grajd în zonele unde această cerință este în curs de aplicare prin achiziția unui abator mobil pentru bovine/ porcine/ ovine/caprine;</w:t>
            </w:r>
          </w:p>
          <w:p w14:paraId="7C79BA16" w14:textId="77777777" w:rsidR="00DE1124" w:rsidRPr="005B3B95" w:rsidRDefault="00DE1124" w:rsidP="0016236F">
            <w:pPr>
              <w:pStyle w:val="ListParagraph"/>
              <w:numPr>
                <w:ilvl w:val="0"/>
                <w:numId w:val="13"/>
              </w:numPr>
              <w:spacing w:line="276" w:lineRule="auto"/>
              <w:jc w:val="left"/>
              <w:rPr>
                <w:szCs w:val="22"/>
              </w:rPr>
            </w:pPr>
            <w:r w:rsidRPr="00A44C13">
              <w:rPr>
                <w:szCs w:val="22"/>
              </w:rPr>
              <w:t>Investiții în înființarea, extinderea şi/sau modernizarea fermelor vegetale, inclusiv capacități de stocare, condiționare, sortare, ambalare a producției vegetale pentru creșterea valorii adăugate a produselor prin achiziționarea unor utilaje agricole moderne pentru modernizarea fermelor vegetale</w:t>
            </w:r>
          </w:p>
          <w:p w14:paraId="64E4E682" w14:textId="1669EC7D" w:rsidR="00DE1124" w:rsidRPr="00A44C13" w:rsidRDefault="00DE1124" w:rsidP="0016236F">
            <w:pPr>
              <w:pStyle w:val="ListParagraph"/>
              <w:numPr>
                <w:ilvl w:val="0"/>
                <w:numId w:val="13"/>
              </w:numPr>
              <w:spacing w:line="276" w:lineRule="auto"/>
              <w:jc w:val="left"/>
              <w:rPr>
                <w:szCs w:val="22"/>
              </w:rPr>
            </w:pPr>
            <w:r w:rsidRPr="00A44C13">
              <w:rPr>
                <w:b/>
                <w:szCs w:val="22"/>
              </w:rPr>
              <w:t xml:space="preserve">Investiții în procesarea produselor agricole la nivel de fermă și/sau produse agricole care nu provin din propria exploatație agricolă, precum și investiții în vederea comercializării. </w:t>
            </w:r>
            <w:r w:rsidRPr="00A44C13">
              <w:rPr>
                <w:szCs w:val="22"/>
              </w:rPr>
              <w:t xml:space="preserve"> </w:t>
            </w:r>
          </w:p>
          <w:p w14:paraId="3C6C07A2" w14:textId="77777777" w:rsidR="00DE1124" w:rsidRPr="00A44C13" w:rsidRDefault="00DE1124" w:rsidP="0016236F">
            <w:pPr>
              <w:pStyle w:val="ListParagraph"/>
              <w:numPr>
                <w:ilvl w:val="0"/>
                <w:numId w:val="13"/>
              </w:numPr>
              <w:spacing w:line="276" w:lineRule="auto"/>
              <w:jc w:val="left"/>
              <w:rPr>
                <w:szCs w:val="22"/>
              </w:rPr>
            </w:pPr>
            <w:r>
              <w:t>Înființarea, extinderea și/sau modernizarea și dotarea unităților de procesare, inclusiv investiții privind marketingul produselor (ex. etichetare, ambalare);</w:t>
            </w:r>
          </w:p>
          <w:p w14:paraId="176D95BD" w14:textId="77777777" w:rsidR="00DE1124" w:rsidRPr="00A44C13" w:rsidRDefault="00DE1124" w:rsidP="0016236F">
            <w:pPr>
              <w:pStyle w:val="ListParagraph"/>
              <w:numPr>
                <w:ilvl w:val="0"/>
                <w:numId w:val="13"/>
              </w:numPr>
              <w:spacing w:line="276" w:lineRule="auto"/>
              <w:jc w:val="left"/>
              <w:rPr>
                <w:szCs w:val="22"/>
              </w:rPr>
            </w:pPr>
            <w:r w:rsidRPr="00A44C13">
              <w:rPr>
                <w:szCs w:val="22"/>
              </w:rPr>
              <w:t>Înființarea, extinderea și/sau modernizarea de rețelele locale de colectare, recepție, depozitare, condiționare, sortare și capacități de ambalare;</w:t>
            </w:r>
          </w:p>
          <w:p w14:paraId="62163CDD" w14:textId="77777777" w:rsidR="00DE1124" w:rsidRPr="00A44C13" w:rsidRDefault="00DE1124" w:rsidP="0016236F">
            <w:pPr>
              <w:pStyle w:val="ListParagraph"/>
              <w:numPr>
                <w:ilvl w:val="0"/>
                <w:numId w:val="13"/>
              </w:numPr>
              <w:spacing w:line="276" w:lineRule="auto"/>
              <w:jc w:val="left"/>
              <w:rPr>
                <w:szCs w:val="22"/>
              </w:rPr>
            </w:pPr>
            <w:r w:rsidRPr="00A44C13">
              <w:rPr>
                <w:szCs w:val="22"/>
              </w:rPr>
              <w:t>Investiții în active necorporale</w:t>
            </w:r>
            <w:bookmarkEnd w:id="1"/>
          </w:p>
        </w:tc>
      </w:tr>
      <w:tr w:rsidR="00DE1124" w:rsidRPr="001C04B8" w14:paraId="317B3216" w14:textId="77777777" w:rsidTr="00954C0B">
        <w:trPr>
          <w:trHeight w:val="349"/>
          <w:jc w:val="center"/>
        </w:trPr>
        <w:tc>
          <w:tcPr>
            <w:tcW w:w="5000" w:type="pct"/>
            <w:gridSpan w:val="5"/>
            <w:vAlign w:val="center"/>
          </w:tcPr>
          <w:p w14:paraId="01FF12A7" w14:textId="77777777" w:rsidR="00DE1124" w:rsidRPr="009B0BB0" w:rsidRDefault="00DE1124" w:rsidP="00DE1124">
            <w:pPr>
              <w:pStyle w:val="ListParagraph"/>
              <w:numPr>
                <w:ilvl w:val="0"/>
                <w:numId w:val="6"/>
              </w:numPr>
              <w:spacing w:line="276" w:lineRule="auto"/>
              <w:jc w:val="left"/>
              <w:rPr>
                <w:rFonts w:cs="Arial"/>
                <w:b/>
                <w:szCs w:val="22"/>
              </w:rPr>
            </w:pPr>
            <w:r w:rsidRPr="009B0BB0">
              <w:rPr>
                <w:b/>
                <w:szCs w:val="22"/>
              </w:rPr>
              <w:t>Tipuri de acțiuni neeligibile</w:t>
            </w:r>
          </w:p>
        </w:tc>
      </w:tr>
      <w:tr w:rsidR="00DE1124" w:rsidRPr="001C04B8" w14:paraId="719CA092" w14:textId="77777777" w:rsidTr="00954C0B">
        <w:trPr>
          <w:trHeight w:val="377"/>
          <w:jc w:val="center"/>
        </w:trPr>
        <w:tc>
          <w:tcPr>
            <w:tcW w:w="5000" w:type="pct"/>
            <w:gridSpan w:val="5"/>
            <w:vAlign w:val="center"/>
          </w:tcPr>
          <w:p w14:paraId="5E3D5048"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 xml:space="preserve">Achiziția de clădiri; </w:t>
            </w:r>
          </w:p>
          <w:p w14:paraId="713DC646"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 xml:space="preserve">Construcția și modernizarea locuinței; </w:t>
            </w:r>
          </w:p>
          <w:p w14:paraId="69EC6FC0"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 xml:space="preserve">Achiziția de drepturi de producție agricolă, de drepturi la plată, animale, plante anuale și plantarea acestora din urmă; </w:t>
            </w:r>
          </w:p>
          <w:p w14:paraId="2E881090"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 xml:space="preserve">Cheltuielile generate de investițiile în culturi energetice din specii forestiere cu ciclu scurt de producție (inclusiv cheltuielile cu achiziționarea materialului săditor și lucrările aferente înființării acestor culturii); </w:t>
            </w:r>
          </w:p>
          <w:p w14:paraId="34F028CC"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lastRenderedPageBreak/>
              <w:t xml:space="preserve">Cheltuielile cu întreținerea culturilor agricole; </w:t>
            </w:r>
          </w:p>
          <w:p w14:paraId="7C59F4B2"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 xml:space="preserve">Cheltuielile cu achiziția de cap tractor. </w:t>
            </w:r>
          </w:p>
          <w:p w14:paraId="220D41A8" w14:textId="77777777" w:rsidR="00DE1124" w:rsidRPr="009B0BB0" w:rsidRDefault="00DE1124" w:rsidP="00DE1124">
            <w:pPr>
              <w:pStyle w:val="ListParagraph"/>
              <w:numPr>
                <w:ilvl w:val="0"/>
                <w:numId w:val="8"/>
              </w:numPr>
              <w:spacing w:line="276" w:lineRule="auto"/>
              <w:ind w:left="284" w:hanging="227"/>
              <w:jc w:val="left"/>
              <w:rPr>
                <w:rFonts w:cs="Calibri"/>
                <w:szCs w:val="22"/>
                <w:lang w:eastAsia="en-US"/>
              </w:rPr>
            </w:pPr>
            <w:r w:rsidRPr="009B0BB0">
              <w:rPr>
                <w:szCs w:val="22"/>
              </w:rPr>
              <w:t>Cheltuielile privind producţia primară și comercializarea produselor vinicole sprijinite prin Programul național de sprijin al României în sectorul vitivinicol 2014-2018.</w:t>
            </w:r>
            <w:r w:rsidRPr="009B0BB0">
              <w:rPr>
                <w:rFonts w:cs="Calibri"/>
                <w:iCs/>
                <w:szCs w:val="22"/>
                <w:lang w:eastAsia="en-US"/>
              </w:rPr>
              <w:t xml:space="preserve"> </w:t>
            </w:r>
          </w:p>
        </w:tc>
      </w:tr>
      <w:tr w:rsidR="00DE1124" w:rsidRPr="001C04B8" w14:paraId="5913A6EC" w14:textId="77777777" w:rsidTr="00954C0B">
        <w:trPr>
          <w:trHeight w:val="227"/>
          <w:jc w:val="center"/>
        </w:trPr>
        <w:tc>
          <w:tcPr>
            <w:tcW w:w="5000" w:type="pct"/>
            <w:gridSpan w:val="5"/>
            <w:vAlign w:val="center"/>
          </w:tcPr>
          <w:p w14:paraId="20C8F960" w14:textId="77777777" w:rsidR="00DE1124" w:rsidRPr="009B0BB0" w:rsidRDefault="00DE1124" w:rsidP="00DE1124">
            <w:pPr>
              <w:pStyle w:val="ListParagraph"/>
              <w:numPr>
                <w:ilvl w:val="0"/>
                <w:numId w:val="11"/>
              </w:numPr>
              <w:spacing w:line="276" w:lineRule="auto"/>
              <w:jc w:val="left"/>
              <w:rPr>
                <w:b/>
                <w:szCs w:val="22"/>
              </w:rPr>
            </w:pPr>
            <w:r w:rsidRPr="009B0BB0">
              <w:rPr>
                <w:b/>
                <w:szCs w:val="22"/>
              </w:rPr>
              <w:lastRenderedPageBreak/>
              <w:t>Condiții de eligibilitate</w:t>
            </w:r>
          </w:p>
        </w:tc>
      </w:tr>
      <w:tr w:rsidR="00DE1124" w:rsidRPr="001C04B8" w14:paraId="2E13F57E" w14:textId="77777777" w:rsidTr="00954C0B">
        <w:trPr>
          <w:trHeight w:val="440"/>
          <w:jc w:val="center"/>
        </w:trPr>
        <w:tc>
          <w:tcPr>
            <w:tcW w:w="5000" w:type="pct"/>
            <w:gridSpan w:val="5"/>
            <w:vAlign w:val="center"/>
          </w:tcPr>
          <w:p w14:paraId="61F79DC6"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 xml:space="preserve">Solicitantul să se încadreze în categoria beneficiarilor eligibili. </w:t>
            </w:r>
          </w:p>
          <w:p w14:paraId="736CA04D"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Solicitantul trebuie să demonstreze asigurarea cofinanțării investiției;</w:t>
            </w:r>
          </w:p>
          <w:p w14:paraId="294E8EFA"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Viabilitatea economică a investiției trebuie să fie demonstrată în baza documentației tehnico-economice;</w:t>
            </w:r>
          </w:p>
          <w:p w14:paraId="45CFE0F7"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Investiția să se încadreze în tipul de sprijin prevăzut în măsură.</w:t>
            </w:r>
          </w:p>
          <w:p w14:paraId="52F63CE5" w14:textId="77777777" w:rsidR="00DE1124" w:rsidRDefault="00DE1124" w:rsidP="00DE1124">
            <w:pPr>
              <w:pStyle w:val="ListParagraph"/>
              <w:numPr>
                <w:ilvl w:val="0"/>
                <w:numId w:val="8"/>
              </w:numPr>
              <w:spacing w:line="276" w:lineRule="auto"/>
              <w:ind w:left="284" w:hanging="227"/>
              <w:jc w:val="left"/>
              <w:rPr>
                <w:szCs w:val="22"/>
              </w:rPr>
            </w:pPr>
            <w:r w:rsidRPr="009B0BB0">
              <w:rPr>
                <w:szCs w:val="22"/>
              </w:rPr>
              <w:t>Investiția să se realizeze în teritoriul acoperit de parteneriatul GAL Someș Transilvan.</w:t>
            </w:r>
          </w:p>
          <w:p w14:paraId="4B8AFCE0" w14:textId="7A8B90C3" w:rsidR="00DE1124" w:rsidRPr="009B0BB0" w:rsidRDefault="00DE1124" w:rsidP="00DE1124">
            <w:pPr>
              <w:pStyle w:val="ListParagraph"/>
              <w:numPr>
                <w:ilvl w:val="0"/>
                <w:numId w:val="8"/>
              </w:numPr>
              <w:spacing w:line="276" w:lineRule="auto"/>
              <w:ind w:left="284" w:hanging="227"/>
              <w:jc w:val="left"/>
              <w:rPr>
                <w:szCs w:val="22"/>
              </w:rPr>
            </w:pPr>
            <w:r>
              <w:t>Sprijinul pentru investiții în procesarea produselor Agricole va fi limitat la produse incluse în lista cuprinsă în Anexa I la Tratatul de Instituire a Comunităţii Europene în scopul obținerii de produse Anexa I și non-Anexa I</w:t>
            </w:r>
            <w:r>
              <w:rPr>
                <w:szCs w:val="22"/>
              </w:rPr>
              <w:t>.</w:t>
            </w:r>
          </w:p>
        </w:tc>
      </w:tr>
      <w:tr w:rsidR="00DE1124" w:rsidRPr="001C04B8" w14:paraId="5DBABE92" w14:textId="77777777" w:rsidTr="00954C0B">
        <w:trPr>
          <w:trHeight w:val="260"/>
          <w:jc w:val="center"/>
        </w:trPr>
        <w:tc>
          <w:tcPr>
            <w:tcW w:w="5000" w:type="pct"/>
            <w:gridSpan w:val="5"/>
            <w:vAlign w:val="center"/>
          </w:tcPr>
          <w:p w14:paraId="4EBDADA0" w14:textId="77777777" w:rsidR="00DE1124" w:rsidRPr="009B0BB0" w:rsidRDefault="00DE1124" w:rsidP="00DE1124">
            <w:pPr>
              <w:pStyle w:val="ListParagraph"/>
              <w:numPr>
                <w:ilvl w:val="0"/>
                <w:numId w:val="11"/>
              </w:numPr>
              <w:spacing w:line="276" w:lineRule="auto"/>
              <w:jc w:val="left"/>
              <w:rPr>
                <w:b/>
                <w:szCs w:val="22"/>
              </w:rPr>
            </w:pPr>
            <w:r w:rsidRPr="009B0BB0">
              <w:rPr>
                <w:b/>
                <w:szCs w:val="22"/>
              </w:rPr>
              <w:t>Criterii de selecție</w:t>
            </w:r>
          </w:p>
        </w:tc>
      </w:tr>
      <w:tr w:rsidR="00DE1124" w:rsidRPr="001C04B8" w14:paraId="5A992500" w14:textId="77777777" w:rsidTr="00954C0B">
        <w:trPr>
          <w:trHeight w:val="413"/>
          <w:jc w:val="center"/>
        </w:trPr>
        <w:tc>
          <w:tcPr>
            <w:tcW w:w="5000" w:type="pct"/>
            <w:gridSpan w:val="5"/>
            <w:vAlign w:val="center"/>
          </w:tcPr>
          <w:p w14:paraId="602DD302"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 xml:space="preserve">Proiecte care își propun crearea locurilor de muncă; </w:t>
            </w:r>
          </w:p>
          <w:p w14:paraId="5904EA1D"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Principiul sistemului de cultură prioritară locală;</w:t>
            </w:r>
          </w:p>
          <w:p w14:paraId="2C963413"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 xml:space="preserve">Principiul lanțurilor alimentare integrate (investițiile care acoperă lanțul alimentar: </w:t>
            </w:r>
            <w:r>
              <w:t>integrarea sistemelor de colectare, procesare și comercializare/</w:t>
            </w:r>
            <w:r w:rsidRPr="009B0BB0">
              <w:rPr>
                <w:szCs w:val="22"/>
              </w:rPr>
              <w:t xml:space="preserve">producţie – condiționare – depozitare - procesare – comercializare); </w:t>
            </w:r>
          </w:p>
          <w:p w14:paraId="19589911"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 xml:space="preserve">Principiul asocierii (investițiile realizate de forme asociative </w:t>
            </w:r>
            <w:r w:rsidRPr="009B0BB0">
              <w:rPr>
                <w:rFonts w:eastAsia="MS Mincho"/>
                <w:b/>
                <w:bCs/>
              </w:rPr>
              <w:t xml:space="preserve">înființate și finanțate prin măsura </w:t>
            </w:r>
            <w:r w:rsidRPr="009B0BB0">
              <w:rPr>
                <w:rFonts w:eastAsia="MS Mincho" w:cs="Times New Roman"/>
                <w:b/>
                <w:bCs/>
                <w:i/>
                <w:lang w:eastAsia="en-US"/>
              </w:rPr>
              <w:t>M8/3A</w:t>
            </w:r>
            <w:r w:rsidRPr="009B0BB0">
              <w:rPr>
                <w:rFonts w:eastAsia="MS Mincho"/>
                <w:b/>
                <w:bCs/>
                <w:i/>
              </w:rPr>
              <w:t xml:space="preserve"> Sprijin pentru înființarea și dezvoltarea de structuri asociative </w:t>
            </w:r>
            <w:r w:rsidRPr="009B0BB0">
              <w:rPr>
                <w:rFonts w:eastAsia="MS Mincho"/>
                <w:b/>
                <w:bCs/>
              </w:rPr>
              <w:t>din cadrul SDL-ului</w:t>
            </w:r>
            <w:r w:rsidRPr="00484B0F">
              <w:rPr>
                <w:rFonts w:eastAsia="MS Mincho"/>
                <w:bCs/>
              </w:rPr>
              <w:t xml:space="preserve">, sau </w:t>
            </w:r>
            <w:r>
              <w:rPr>
                <w:rFonts w:eastAsia="MS Mincho"/>
                <w:bCs/>
              </w:rPr>
              <w:t>cooperative care activează pe teritoriul GAL-ului</w:t>
            </w:r>
            <w:r w:rsidRPr="009B0BB0">
              <w:rPr>
                <w:szCs w:val="22"/>
              </w:rPr>
              <w:t xml:space="preserve">); </w:t>
            </w:r>
          </w:p>
          <w:p w14:paraId="76F4E4AF"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 xml:space="preserve">Principiul nivelului de calificare (studii superioare în domeniul proiectului; studii medii în domeniul proiectului); </w:t>
            </w:r>
          </w:p>
          <w:p w14:paraId="2BF600AA"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 xml:space="preserve">Principiul vârstei (tinerii sub 40 ani); </w:t>
            </w:r>
            <w:bookmarkStart w:id="2" w:name="_GoBack"/>
            <w:bookmarkEnd w:id="2"/>
          </w:p>
          <w:p w14:paraId="1784539A"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szCs w:val="22"/>
              </w:rPr>
              <w:t>Principiul reconversiei (investiţii care presupun reconversie)</w:t>
            </w:r>
          </w:p>
          <w:p w14:paraId="4A87E641" w14:textId="77777777" w:rsidR="00DE1124" w:rsidRPr="009B0BB0" w:rsidRDefault="00DE1124" w:rsidP="00DE1124">
            <w:pPr>
              <w:pStyle w:val="ListParagraph"/>
              <w:numPr>
                <w:ilvl w:val="0"/>
                <w:numId w:val="8"/>
              </w:numPr>
              <w:spacing w:line="276" w:lineRule="auto"/>
              <w:ind w:left="284" w:hanging="227"/>
              <w:jc w:val="left"/>
              <w:rPr>
                <w:rFonts w:cs="Arial"/>
                <w:szCs w:val="22"/>
              </w:rPr>
            </w:pPr>
            <w:r w:rsidRPr="009B0BB0">
              <w:rPr>
                <w:szCs w:val="22"/>
              </w:rPr>
              <w:t xml:space="preserve">Principiul economisirii apei, pentru proiectele care prevăd investiții de modernizare a sistemelor de irigații la nivel de fermă, prin prioritizare a investițiilor care țintesc economii mai mari de apă. </w:t>
            </w:r>
          </w:p>
        </w:tc>
      </w:tr>
      <w:tr w:rsidR="00DE1124" w:rsidRPr="001C04B8" w14:paraId="289F1D9C" w14:textId="77777777" w:rsidTr="00954C0B">
        <w:trPr>
          <w:trHeight w:val="339"/>
          <w:jc w:val="center"/>
        </w:trPr>
        <w:tc>
          <w:tcPr>
            <w:tcW w:w="5000" w:type="pct"/>
            <w:gridSpan w:val="5"/>
            <w:vAlign w:val="center"/>
          </w:tcPr>
          <w:p w14:paraId="402D6597" w14:textId="77777777" w:rsidR="00DE1124" w:rsidRPr="009B0BB0" w:rsidRDefault="00DE1124" w:rsidP="00DE1124">
            <w:pPr>
              <w:pStyle w:val="ListParagraph"/>
              <w:numPr>
                <w:ilvl w:val="0"/>
                <w:numId w:val="11"/>
              </w:numPr>
              <w:spacing w:line="276" w:lineRule="auto"/>
              <w:jc w:val="left"/>
              <w:rPr>
                <w:b/>
                <w:szCs w:val="22"/>
              </w:rPr>
            </w:pPr>
            <w:r w:rsidRPr="009B0BB0">
              <w:rPr>
                <w:b/>
                <w:szCs w:val="22"/>
              </w:rPr>
              <w:t>Sume aplicabile și rata sprijinului:</w:t>
            </w:r>
          </w:p>
        </w:tc>
      </w:tr>
      <w:tr w:rsidR="00DE1124" w:rsidRPr="001C04B8" w14:paraId="2D0E584A" w14:textId="77777777" w:rsidTr="00954C0B">
        <w:trPr>
          <w:trHeight w:val="800"/>
          <w:jc w:val="center"/>
        </w:trPr>
        <w:tc>
          <w:tcPr>
            <w:tcW w:w="5000" w:type="pct"/>
            <w:gridSpan w:val="5"/>
            <w:shd w:val="clear" w:color="auto" w:fill="auto"/>
            <w:vAlign w:val="center"/>
          </w:tcPr>
          <w:p w14:paraId="7B3FB5A5" w14:textId="573D9002" w:rsidR="00DE1124" w:rsidRDefault="00DE1124" w:rsidP="00DE1124">
            <w:pPr>
              <w:pStyle w:val="ListParagraph"/>
              <w:numPr>
                <w:ilvl w:val="0"/>
                <w:numId w:val="8"/>
              </w:numPr>
              <w:spacing w:line="276" w:lineRule="auto"/>
              <w:ind w:left="284" w:hanging="227"/>
              <w:jc w:val="left"/>
              <w:rPr>
                <w:szCs w:val="22"/>
              </w:rPr>
            </w:pPr>
            <w:bookmarkStart w:id="3" w:name="_Hlk523171303"/>
            <w:r w:rsidRPr="009B0BB0">
              <w:rPr>
                <w:b/>
                <w:szCs w:val="22"/>
              </w:rPr>
              <w:t>Valoarea sprijinului</w:t>
            </w:r>
            <w:r w:rsidRPr="009B0BB0">
              <w:rPr>
                <w:szCs w:val="22"/>
              </w:rPr>
              <w:t xml:space="preserve"> nerambursabil poate fi </w:t>
            </w:r>
            <w:r>
              <w:rPr>
                <w:szCs w:val="22"/>
              </w:rPr>
              <w:t>maxim 72.350 euro</w:t>
            </w:r>
            <w:r w:rsidRPr="009B0BB0">
              <w:rPr>
                <w:szCs w:val="22"/>
              </w:rPr>
              <w:t>.</w:t>
            </w:r>
          </w:p>
          <w:p w14:paraId="56288230" w14:textId="77777777" w:rsidR="00DE1124" w:rsidRPr="00462A2A" w:rsidRDefault="00DE1124" w:rsidP="00954C0B">
            <w:pPr>
              <w:pStyle w:val="ListParagraph"/>
              <w:spacing w:line="276" w:lineRule="auto"/>
              <w:ind w:left="284"/>
              <w:jc w:val="left"/>
              <w:rPr>
                <w:szCs w:val="22"/>
              </w:rPr>
            </w:pPr>
          </w:p>
          <w:p w14:paraId="6B174007" w14:textId="77777777" w:rsidR="00DE1124" w:rsidRPr="009B0BB0" w:rsidRDefault="00DE1124" w:rsidP="00DE1124">
            <w:pPr>
              <w:pStyle w:val="ListParagraph"/>
              <w:numPr>
                <w:ilvl w:val="0"/>
                <w:numId w:val="8"/>
              </w:numPr>
              <w:spacing w:line="276" w:lineRule="auto"/>
              <w:ind w:left="284" w:hanging="227"/>
              <w:jc w:val="left"/>
              <w:rPr>
                <w:szCs w:val="22"/>
              </w:rPr>
            </w:pPr>
            <w:r w:rsidRPr="009B0BB0">
              <w:rPr>
                <w:b/>
                <w:szCs w:val="22"/>
              </w:rPr>
              <w:t>Intensitatea sprijinului</w:t>
            </w:r>
            <w:r w:rsidRPr="009B0BB0">
              <w:rPr>
                <w:szCs w:val="22"/>
              </w:rPr>
              <w:t xml:space="preserve"> va fi de 50%.</w:t>
            </w:r>
          </w:p>
          <w:p w14:paraId="76004F84" w14:textId="6FCA90A3" w:rsidR="00DE1124" w:rsidRDefault="00DE1124" w:rsidP="00954C0B">
            <w:pPr>
              <w:spacing w:line="276" w:lineRule="auto"/>
              <w:ind w:left="57"/>
              <w:rPr>
                <w:szCs w:val="22"/>
              </w:rPr>
            </w:pPr>
            <w:r w:rsidRPr="009B0BB0">
              <w:rPr>
                <w:szCs w:val="22"/>
              </w:rPr>
              <w:t>Rata de mai sus poate fi majorată cu 20 puncte procentuale suplimentare, cu condiția ca rata maximă a sprijinului combinat să nu depășească 90 %</w:t>
            </w:r>
            <w:r>
              <w:rPr>
                <w:szCs w:val="22"/>
              </w:rPr>
              <w:t>:</w:t>
            </w:r>
          </w:p>
          <w:p w14:paraId="04F76847" w14:textId="77777777" w:rsidR="00DE1124" w:rsidRPr="007F3255" w:rsidRDefault="00DE1124" w:rsidP="0016236F">
            <w:pPr>
              <w:pStyle w:val="ListParagraph"/>
              <w:numPr>
                <w:ilvl w:val="0"/>
                <w:numId w:val="14"/>
              </w:numPr>
              <w:spacing w:line="276" w:lineRule="auto"/>
              <w:rPr>
                <w:b/>
                <w:szCs w:val="22"/>
              </w:rPr>
            </w:pPr>
            <w:r w:rsidRPr="007F3255">
              <w:rPr>
                <w:b/>
                <w:szCs w:val="22"/>
              </w:rPr>
              <w:t>pentru acțiunile</w:t>
            </w:r>
            <w:r>
              <w:rPr>
                <w:b/>
                <w:szCs w:val="22"/>
              </w:rPr>
              <w:t xml:space="preserve"> producție în cazul</w:t>
            </w:r>
            <w:r w:rsidRPr="007F3255">
              <w:rPr>
                <w:b/>
                <w:szCs w:val="22"/>
              </w:rPr>
              <w:t>:</w:t>
            </w:r>
          </w:p>
          <w:p w14:paraId="22681FDF" w14:textId="77777777" w:rsidR="00DE1124" w:rsidRDefault="00DE1124" w:rsidP="00DE1124">
            <w:pPr>
              <w:pStyle w:val="ListParagraph"/>
              <w:numPr>
                <w:ilvl w:val="0"/>
                <w:numId w:val="9"/>
              </w:numPr>
              <w:spacing w:line="276" w:lineRule="auto"/>
              <w:rPr>
                <w:szCs w:val="22"/>
              </w:rPr>
            </w:pPr>
            <w:r w:rsidRPr="00A44C13">
              <w:rPr>
                <w:szCs w:val="22"/>
              </w:rPr>
              <w:t>tinerilor fermieri, cu vârsta până la 40 de ani, inclusiv,la data depunerii cererii de finanţare (așa cum sunt definiți la art. 2 al R (UE) nr. 1305/2013 sau cei care s-au stabilit în cei cinci ani anteriori solicitării sprijinului, în conformitate cu anexa II a R 1305)</w:t>
            </w:r>
          </w:p>
          <w:p w14:paraId="0F9B6AB5" w14:textId="77777777" w:rsidR="00DE1124" w:rsidRDefault="00DE1124" w:rsidP="00DE1124">
            <w:pPr>
              <w:pStyle w:val="ListParagraph"/>
              <w:numPr>
                <w:ilvl w:val="0"/>
                <w:numId w:val="9"/>
              </w:numPr>
              <w:spacing w:line="276" w:lineRule="auto"/>
              <w:rPr>
                <w:szCs w:val="22"/>
              </w:rPr>
            </w:pPr>
            <w:r w:rsidRPr="00A44C13">
              <w:rPr>
                <w:szCs w:val="22"/>
              </w:rPr>
              <w:t xml:space="preserve">investițiilor colective, inclusiv al celor legate de o fuziune a unor organizații de </w:t>
            </w:r>
            <w:r w:rsidRPr="00A44C13">
              <w:rPr>
                <w:szCs w:val="22"/>
              </w:rPr>
              <w:lastRenderedPageBreak/>
              <w:t>producători</w:t>
            </w:r>
          </w:p>
          <w:p w14:paraId="58595A2C" w14:textId="77777777" w:rsidR="00DE1124" w:rsidRPr="00A44C13" w:rsidRDefault="00DE1124" w:rsidP="00DE1124">
            <w:pPr>
              <w:pStyle w:val="ListParagraph"/>
              <w:numPr>
                <w:ilvl w:val="0"/>
                <w:numId w:val="9"/>
              </w:numPr>
              <w:rPr>
                <w:szCs w:val="22"/>
              </w:rPr>
            </w:pPr>
            <w:r w:rsidRPr="00A44C13">
              <w:rPr>
                <w:szCs w:val="22"/>
              </w:rPr>
              <w:t>zonelor care se confruntă cu constrângeri naturale și cu alte constrângeri specifice (menționate la art. 32, Reg. 1305/2013)</w:t>
            </w:r>
          </w:p>
          <w:p w14:paraId="76E54191" w14:textId="77777777" w:rsidR="00DE1124" w:rsidRDefault="00DE1124" w:rsidP="00DE1124">
            <w:pPr>
              <w:pStyle w:val="ListParagraph"/>
              <w:numPr>
                <w:ilvl w:val="0"/>
                <w:numId w:val="9"/>
              </w:numPr>
              <w:spacing w:line="276" w:lineRule="auto"/>
              <w:rPr>
                <w:szCs w:val="22"/>
              </w:rPr>
            </w:pPr>
            <w:r w:rsidRPr="00A44C13">
              <w:rPr>
                <w:szCs w:val="22"/>
              </w:rPr>
              <w:t>Investițiilor legate de operațiunile prevăzute la art. 28 (Agromediu) și art. 29 (Agricultura ecologică) din R(UE) nr. 1305/2013.</w:t>
            </w:r>
          </w:p>
          <w:p w14:paraId="541153FB" w14:textId="77777777" w:rsidR="00DE1124" w:rsidRDefault="00DE1124" w:rsidP="00954C0B">
            <w:pPr>
              <w:spacing w:line="276" w:lineRule="auto"/>
              <w:rPr>
                <w:szCs w:val="22"/>
              </w:rPr>
            </w:pPr>
          </w:p>
          <w:p w14:paraId="37CFAB36" w14:textId="77777777" w:rsidR="00DE1124" w:rsidRPr="007F3255" w:rsidRDefault="00DE1124" w:rsidP="0016236F">
            <w:pPr>
              <w:pStyle w:val="ListParagraph"/>
              <w:numPr>
                <w:ilvl w:val="0"/>
                <w:numId w:val="14"/>
              </w:numPr>
              <w:spacing w:line="276" w:lineRule="auto"/>
              <w:rPr>
                <w:b/>
                <w:szCs w:val="22"/>
              </w:rPr>
            </w:pPr>
            <w:r w:rsidRPr="007F3255">
              <w:rPr>
                <w:b/>
                <w:szCs w:val="22"/>
              </w:rPr>
              <w:t>pentru acțiunile de</w:t>
            </w:r>
            <w:r>
              <w:rPr>
                <w:b/>
                <w:szCs w:val="22"/>
              </w:rPr>
              <w:t xml:space="preserve"> procesare</w:t>
            </w:r>
            <w:r w:rsidRPr="007F3255">
              <w:rPr>
                <w:b/>
                <w:szCs w:val="22"/>
              </w:rPr>
              <w:t xml:space="preserve"> în cazul:</w:t>
            </w:r>
          </w:p>
          <w:p w14:paraId="34E80717" w14:textId="77777777" w:rsidR="00DE1124" w:rsidRDefault="00DE1124" w:rsidP="00DE1124">
            <w:pPr>
              <w:pStyle w:val="ListParagraph"/>
              <w:numPr>
                <w:ilvl w:val="0"/>
                <w:numId w:val="9"/>
              </w:numPr>
              <w:spacing w:line="276" w:lineRule="auto"/>
              <w:rPr>
                <w:szCs w:val="22"/>
              </w:rPr>
            </w:pPr>
            <w:r w:rsidRPr="007F3255">
              <w:rPr>
                <w:szCs w:val="22"/>
              </w:rPr>
              <w:t>Investiții colective (proiecte aplicate de cooperative sau grupuri de producători)</w:t>
            </w:r>
          </w:p>
          <w:p w14:paraId="4464DA57" w14:textId="77777777" w:rsidR="00DE1124" w:rsidRDefault="00DE1124" w:rsidP="0016236F">
            <w:pPr>
              <w:pStyle w:val="ListParagraph"/>
              <w:numPr>
                <w:ilvl w:val="0"/>
                <w:numId w:val="9"/>
              </w:numPr>
              <w:spacing w:line="276" w:lineRule="auto"/>
              <w:rPr>
                <w:szCs w:val="22"/>
              </w:rPr>
            </w:pPr>
            <w:r>
              <w:rPr>
                <w:szCs w:val="22"/>
              </w:rPr>
              <w:t>I</w:t>
            </w:r>
            <w:r w:rsidRPr="007F3255">
              <w:rPr>
                <w:szCs w:val="22"/>
              </w:rPr>
              <w:t>nvestițiilor legate de o fuziune a unor organizații de producători</w:t>
            </w:r>
          </w:p>
          <w:p w14:paraId="06D178A7" w14:textId="6C448F91" w:rsidR="00DE1124" w:rsidRPr="00A44C13" w:rsidRDefault="00DE1124" w:rsidP="00DE1124">
            <w:pPr>
              <w:pStyle w:val="ListParagraph"/>
              <w:numPr>
                <w:ilvl w:val="0"/>
                <w:numId w:val="9"/>
              </w:numPr>
              <w:shd w:val="clear" w:color="auto" w:fill="FFFFFF"/>
              <w:spacing w:line="276" w:lineRule="auto"/>
              <w:rPr>
                <w:szCs w:val="22"/>
              </w:rPr>
            </w:pPr>
          </w:p>
        </w:tc>
      </w:tr>
      <w:bookmarkEnd w:id="3"/>
      <w:tr w:rsidR="00DE1124" w:rsidRPr="001C04B8" w14:paraId="1DE147F6" w14:textId="77777777" w:rsidTr="00954C0B">
        <w:trPr>
          <w:trHeight w:val="325"/>
          <w:jc w:val="center"/>
        </w:trPr>
        <w:tc>
          <w:tcPr>
            <w:tcW w:w="5000" w:type="pct"/>
            <w:gridSpan w:val="5"/>
            <w:shd w:val="clear" w:color="auto" w:fill="auto"/>
            <w:vAlign w:val="center"/>
          </w:tcPr>
          <w:p w14:paraId="1A5DDC83" w14:textId="77777777" w:rsidR="00DE1124" w:rsidRPr="009B0BB0" w:rsidRDefault="00DE1124" w:rsidP="00DE1124">
            <w:pPr>
              <w:pStyle w:val="ListParagraph"/>
              <w:numPr>
                <w:ilvl w:val="0"/>
                <w:numId w:val="11"/>
              </w:numPr>
              <w:spacing w:line="276" w:lineRule="auto"/>
              <w:jc w:val="left"/>
              <w:rPr>
                <w:b/>
                <w:szCs w:val="22"/>
              </w:rPr>
            </w:pPr>
            <w:r w:rsidRPr="009B0BB0">
              <w:rPr>
                <w:b/>
                <w:szCs w:val="22"/>
              </w:rPr>
              <w:lastRenderedPageBreak/>
              <w:t>Indicatori de monitorizare</w:t>
            </w:r>
          </w:p>
        </w:tc>
      </w:tr>
      <w:tr w:rsidR="00DE1124" w:rsidRPr="001C04B8" w14:paraId="02D89B97" w14:textId="77777777" w:rsidTr="00954C0B">
        <w:trPr>
          <w:trHeight w:val="440"/>
          <w:jc w:val="center"/>
        </w:trPr>
        <w:tc>
          <w:tcPr>
            <w:tcW w:w="3438" w:type="pct"/>
            <w:gridSpan w:val="4"/>
            <w:shd w:val="clear" w:color="auto" w:fill="auto"/>
            <w:vAlign w:val="center"/>
          </w:tcPr>
          <w:p w14:paraId="66926EF3" w14:textId="77777777" w:rsidR="00DE1124" w:rsidRPr="001C04B8" w:rsidRDefault="00DE1124" w:rsidP="00954C0B">
            <w:pPr>
              <w:spacing w:line="276" w:lineRule="auto"/>
              <w:rPr>
                <w:szCs w:val="22"/>
              </w:rPr>
            </w:pPr>
            <w:r w:rsidRPr="001C04B8">
              <w:rPr>
                <w:szCs w:val="22"/>
              </w:rPr>
              <w:t>Număr de exploatații agricole/beneficiari sprijiniți</w:t>
            </w:r>
          </w:p>
        </w:tc>
        <w:tc>
          <w:tcPr>
            <w:tcW w:w="1562" w:type="pct"/>
            <w:shd w:val="clear" w:color="auto" w:fill="auto"/>
            <w:vAlign w:val="center"/>
          </w:tcPr>
          <w:p w14:paraId="1AB73E2A" w14:textId="77777777" w:rsidR="00DE1124" w:rsidRPr="001C04B8" w:rsidRDefault="00DE1124" w:rsidP="00954C0B">
            <w:pPr>
              <w:spacing w:line="276" w:lineRule="auto"/>
              <w:rPr>
                <w:szCs w:val="22"/>
              </w:rPr>
            </w:pPr>
            <w:r w:rsidRPr="001C04B8">
              <w:rPr>
                <w:szCs w:val="22"/>
              </w:rPr>
              <w:t>1</w:t>
            </w:r>
          </w:p>
        </w:tc>
      </w:tr>
      <w:tr w:rsidR="00DE1124" w:rsidRPr="001C04B8" w14:paraId="30FA581F" w14:textId="77777777" w:rsidTr="00954C0B">
        <w:trPr>
          <w:trHeight w:val="440"/>
          <w:jc w:val="center"/>
        </w:trPr>
        <w:tc>
          <w:tcPr>
            <w:tcW w:w="3438" w:type="pct"/>
            <w:gridSpan w:val="4"/>
            <w:shd w:val="clear" w:color="auto" w:fill="auto"/>
            <w:vAlign w:val="center"/>
          </w:tcPr>
          <w:p w14:paraId="4AD5AA86" w14:textId="77777777" w:rsidR="00DE1124" w:rsidRPr="001C04B8" w:rsidRDefault="00DE1124" w:rsidP="00954C0B">
            <w:pPr>
              <w:spacing w:line="276" w:lineRule="auto"/>
              <w:rPr>
                <w:szCs w:val="22"/>
              </w:rPr>
            </w:pPr>
            <w:r w:rsidRPr="001C04B8">
              <w:rPr>
                <w:szCs w:val="22"/>
              </w:rPr>
              <w:t>Numărul locurilor de muncă create</w:t>
            </w:r>
          </w:p>
        </w:tc>
        <w:tc>
          <w:tcPr>
            <w:tcW w:w="1562" w:type="pct"/>
            <w:shd w:val="clear" w:color="auto" w:fill="auto"/>
            <w:vAlign w:val="center"/>
          </w:tcPr>
          <w:p w14:paraId="01FBB924" w14:textId="77777777" w:rsidR="00DE1124" w:rsidRPr="001C04B8" w:rsidRDefault="00DE1124" w:rsidP="00954C0B">
            <w:pPr>
              <w:spacing w:line="276" w:lineRule="auto"/>
              <w:rPr>
                <w:szCs w:val="22"/>
              </w:rPr>
            </w:pPr>
            <w:r w:rsidRPr="001C04B8">
              <w:rPr>
                <w:szCs w:val="22"/>
              </w:rPr>
              <w:t>1</w:t>
            </w:r>
          </w:p>
        </w:tc>
      </w:tr>
      <w:tr w:rsidR="00DE1124" w:rsidRPr="001C04B8" w14:paraId="402C5443" w14:textId="77777777" w:rsidTr="00954C0B">
        <w:trPr>
          <w:trHeight w:val="440"/>
          <w:jc w:val="center"/>
        </w:trPr>
        <w:tc>
          <w:tcPr>
            <w:tcW w:w="3438" w:type="pct"/>
            <w:gridSpan w:val="4"/>
            <w:shd w:val="clear" w:color="auto" w:fill="auto"/>
            <w:vAlign w:val="center"/>
          </w:tcPr>
          <w:p w14:paraId="0F136007" w14:textId="77777777" w:rsidR="00DE1124" w:rsidRPr="001C04B8" w:rsidRDefault="00DE1124" w:rsidP="00954C0B">
            <w:pPr>
              <w:spacing w:line="276" w:lineRule="auto"/>
              <w:rPr>
                <w:szCs w:val="22"/>
              </w:rPr>
            </w:pPr>
            <w:r w:rsidRPr="001C04B8">
              <w:rPr>
                <w:szCs w:val="22"/>
              </w:rPr>
              <w:t>Număr proiecte inovative</w:t>
            </w:r>
          </w:p>
        </w:tc>
        <w:tc>
          <w:tcPr>
            <w:tcW w:w="1562" w:type="pct"/>
            <w:shd w:val="clear" w:color="auto" w:fill="auto"/>
            <w:vAlign w:val="center"/>
          </w:tcPr>
          <w:p w14:paraId="7557B0F3" w14:textId="77777777" w:rsidR="00DE1124" w:rsidRPr="001C04B8" w:rsidRDefault="00DE1124" w:rsidP="00954C0B">
            <w:pPr>
              <w:spacing w:line="276" w:lineRule="auto"/>
              <w:rPr>
                <w:szCs w:val="22"/>
              </w:rPr>
            </w:pPr>
            <w:r w:rsidRPr="001C04B8">
              <w:rPr>
                <w:szCs w:val="22"/>
              </w:rPr>
              <w:t>1</w:t>
            </w:r>
          </w:p>
        </w:tc>
      </w:tr>
      <w:tr w:rsidR="00DE1124" w:rsidRPr="001C04B8" w14:paraId="035E1754" w14:textId="77777777" w:rsidTr="00954C0B">
        <w:trPr>
          <w:trHeight w:val="440"/>
          <w:jc w:val="center"/>
        </w:trPr>
        <w:tc>
          <w:tcPr>
            <w:tcW w:w="3438" w:type="pct"/>
            <w:gridSpan w:val="4"/>
            <w:shd w:val="clear" w:color="auto" w:fill="auto"/>
            <w:vAlign w:val="center"/>
          </w:tcPr>
          <w:p w14:paraId="7FA95D16" w14:textId="77777777" w:rsidR="00DE1124" w:rsidRPr="001C04B8" w:rsidRDefault="00DE1124" w:rsidP="00954C0B">
            <w:pPr>
              <w:spacing w:line="276" w:lineRule="auto"/>
              <w:rPr>
                <w:szCs w:val="22"/>
              </w:rPr>
            </w:pPr>
            <w:r w:rsidRPr="001C04B8">
              <w:rPr>
                <w:szCs w:val="22"/>
              </w:rPr>
              <w:t>Cheltuiala publică totală</w:t>
            </w:r>
          </w:p>
        </w:tc>
        <w:tc>
          <w:tcPr>
            <w:tcW w:w="1562" w:type="pct"/>
            <w:shd w:val="clear" w:color="auto" w:fill="auto"/>
            <w:vAlign w:val="center"/>
          </w:tcPr>
          <w:p w14:paraId="1F651186" w14:textId="77777777" w:rsidR="00DE1124" w:rsidRPr="001C04B8" w:rsidRDefault="00DE1124" w:rsidP="00954C0B">
            <w:pPr>
              <w:spacing w:line="276" w:lineRule="auto"/>
              <w:rPr>
                <w:szCs w:val="22"/>
              </w:rPr>
            </w:pPr>
            <w:r w:rsidRPr="00984493">
              <w:rPr>
                <w:szCs w:val="22"/>
              </w:rPr>
              <w:t>50.000 EUR</w:t>
            </w:r>
          </w:p>
        </w:tc>
      </w:tr>
    </w:tbl>
    <w:p w14:paraId="3BEC02CE" w14:textId="77777777" w:rsidR="00AF7B58" w:rsidRPr="00DE1124" w:rsidRDefault="0016236F" w:rsidP="00DE1124"/>
    <w:sectPr w:rsidR="00AF7B58" w:rsidRPr="00DE1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479"/>
    <w:multiLevelType w:val="multilevel"/>
    <w:tmpl w:val="37005C96"/>
    <w:lvl w:ilvl="0">
      <w:start w:val="1"/>
      <w:numFmt w:val="decimal"/>
      <w:lvlText w:val="%1."/>
      <w:lvlJc w:val="left"/>
      <w:pPr>
        <w:ind w:left="360" w:hanging="360"/>
      </w:pPr>
      <w:rPr>
        <w:rFonts w:hint="default"/>
        <w:b/>
        <w:u w:val="none"/>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8E0FA8"/>
    <w:multiLevelType w:val="hybridMultilevel"/>
    <w:tmpl w:val="AB5EA6F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239F48A4"/>
    <w:multiLevelType w:val="hybridMultilevel"/>
    <w:tmpl w:val="04FEDAAA"/>
    <w:lvl w:ilvl="0" w:tplc="D664426A">
      <w:start w:val="1"/>
      <w:numFmt w:val="decimal"/>
      <w:lvlText w:val="4.%1."/>
      <w:lvlJc w:val="left"/>
      <w:pPr>
        <w:ind w:left="417" w:hanging="360"/>
      </w:pPr>
      <w:rPr>
        <w:rFonts w:hint="default"/>
      </w:rPr>
    </w:lvl>
    <w:lvl w:ilvl="1" w:tplc="04180019" w:tentative="1">
      <w:start w:val="1"/>
      <w:numFmt w:val="lowerLetter"/>
      <w:lvlText w:val="%2."/>
      <w:lvlJc w:val="left"/>
      <w:pPr>
        <w:ind w:left="1497" w:hanging="360"/>
      </w:pPr>
    </w:lvl>
    <w:lvl w:ilvl="2" w:tplc="0418001B" w:tentative="1">
      <w:start w:val="1"/>
      <w:numFmt w:val="lowerRoman"/>
      <w:lvlText w:val="%3."/>
      <w:lvlJc w:val="right"/>
      <w:pPr>
        <w:ind w:left="2217" w:hanging="180"/>
      </w:pPr>
    </w:lvl>
    <w:lvl w:ilvl="3" w:tplc="0418000F" w:tentative="1">
      <w:start w:val="1"/>
      <w:numFmt w:val="decimal"/>
      <w:lvlText w:val="%4."/>
      <w:lvlJc w:val="left"/>
      <w:pPr>
        <w:ind w:left="2937" w:hanging="360"/>
      </w:pPr>
    </w:lvl>
    <w:lvl w:ilvl="4" w:tplc="04180019" w:tentative="1">
      <w:start w:val="1"/>
      <w:numFmt w:val="lowerLetter"/>
      <w:lvlText w:val="%5."/>
      <w:lvlJc w:val="left"/>
      <w:pPr>
        <w:ind w:left="3657" w:hanging="360"/>
      </w:pPr>
    </w:lvl>
    <w:lvl w:ilvl="5" w:tplc="0418001B" w:tentative="1">
      <w:start w:val="1"/>
      <w:numFmt w:val="lowerRoman"/>
      <w:lvlText w:val="%6."/>
      <w:lvlJc w:val="right"/>
      <w:pPr>
        <w:ind w:left="4377" w:hanging="180"/>
      </w:pPr>
    </w:lvl>
    <w:lvl w:ilvl="6" w:tplc="0418000F" w:tentative="1">
      <w:start w:val="1"/>
      <w:numFmt w:val="decimal"/>
      <w:lvlText w:val="%7."/>
      <w:lvlJc w:val="left"/>
      <w:pPr>
        <w:ind w:left="5097" w:hanging="360"/>
      </w:pPr>
    </w:lvl>
    <w:lvl w:ilvl="7" w:tplc="04180019" w:tentative="1">
      <w:start w:val="1"/>
      <w:numFmt w:val="lowerLetter"/>
      <w:lvlText w:val="%8."/>
      <w:lvlJc w:val="left"/>
      <w:pPr>
        <w:ind w:left="5817" w:hanging="360"/>
      </w:pPr>
    </w:lvl>
    <w:lvl w:ilvl="8" w:tplc="0418001B" w:tentative="1">
      <w:start w:val="1"/>
      <w:numFmt w:val="lowerRoman"/>
      <w:lvlText w:val="%9."/>
      <w:lvlJc w:val="right"/>
      <w:pPr>
        <w:ind w:left="6537" w:hanging="180"/>
      </w:pPr>
    </w:lvl>
  </w:abstractNum>
  <w:abstractNum w:abstractNumId="3" w15:restartNumberingAfterBreak="0">
    <w:nsid w:val="285801FD"/>
    <w:multiLevelType w:val="hybridMultilevel"/>
    <w:tmpl w:val="54C69F44"/>
    <w:lvl w:ilvl="0" w:tplc="7182E460">
      <w:start w:val="1"/>
      <w:numFmt w:val="bullet"/>
      <w:lvlText w:val=""/>
      <w:lvlJc w:val="left"/>
      <w:pPr>
        <w:ind w:left="417" w:hanging="360"/>
      </w:pPr>
      <w:rPr>
        <w:rFonts w:ascii="Symbol" w:hAnsi="Symbol" w:hint="default"/>
        <w:color w:val="auto"/>
      </w:rPr>
    </w:lvl>
    <w:lvl w:ilvl="1" w:tplc="04180003" w:tentative="1">
      <w:start w:val="1"/>
      <w:numFmt w:val="bullet"/>
      <w:lvlText w:val="o"/>
      <w:lvlJc w:val="left"/>
      <w:pPr>
        <w:ind w:left="1137" w:hanging="360"/>
      </w:pPr>
      <w:rPr>
        <w:rFonts w:ascii="Courier New" w:hAnsi="Courier New" w:cs="Courier New" w:hint="default"/>
      </w:rPr>
    </w:lvl>
    <w:lvl w:ilvl="2" w:tplc="04180005" w:tentative="1">
      <w:start w:val="1"/>
      <w:numFmt w:val="bullet"/>
      <w:lvlText w:val=""/>
      <w:lvlJc w:val="left"/>
      <w:pPr>
        <w:ind w:left="1857" w:hanging="360"/>
      </w:pPr>
      <w:rPr>
        <w:rFonts w:ascii="Wingdings" w:hAnsi="Wingdings" w:hint="default"/>
      </w:rPr>
    </w:lvl>
    <w:lvl w:ilvl="3" w:tplc="04180001" w:tentative="1">
      <w:start w:val="1"/>
      <w:numFmt w:val="bullet"/>
      <w:lvlText w:val=""/>
      <w:lvlJc w:val="left"/>
      <w:pPr>
        <w:ind w:left="2577" w:hanging="360"/>
      </w:pPr>
      <w:rPr>
        <w:rFonts w:ascii="Symbol" w:hAnsi="Symbol" w:hint="default"/>
      </w:rPr>
    </w:lvl>
    <w:lvl w:ilvl="4" w:tplc="04180003" w:tentative="1">
      <w:start w:val="1"/>
      <w:numFmt w:val="bullet"/>
      <w:lvlText w:val="o"/>
      <w:lvlJc w:val="left"/>
      <w:pPr>
        <w:ind w:left="3297" w:hanging="360"/>
      </w:pPr>
      <w:rPr>
        <w:rFonts w:ascii="Courier New" w:hAnsi="Courier New" w:cs="Courier New" w:hint="default"/>
      </w:rPr>
    </w:lvl>
    <w:lvl w:ilvl="5" w:tplc="04180005" w:tentative="1">
      <w:start w:val="1"/>
      <w:numFmt w:val="bullet"/>
      <w:lvlText w:val=""/>
      <w:lvlJc w:val="left"/>
      <w:pPr>
        <w:ind w:left="4017" w:hanging="360"/>
      </w:pPr>
      <w:rPr>
        <w:rFonts w:ascii="Wingdings" w:hAnsi="Wingdings" w:hint="default"/>
      </w:rPr>
    </w:lvl>
    <w:lvl w:ilvl="6" w:tplc="04180001" w:tentative="1">
      <w:start w:val="1"/>
      <w:numFmt w:val="bullet"/>
      <w:lvlText w:val=""/>
      <w:lvlJc w:val="left"/>
      <w:pPr>
        <w:ind w:left="4737" w:hanging="360"/>
      </w:pPr>
      <w:rPr>
        <w:rFonts w:ascii="Symbol" w:hAnsi="Symbol" w:hint="default"/>
      </w:rPr>
    </w:lvl>
    <w:lvl w:ilvl="7" w:tplc="04180003" w:tentative="1">
      <w:start w:val="1"/>
      <w:numFmt w:val="bullet"/>
      <w:lvlText w:val="o"/>
      <w:lvlJc w:val="left"/>
      <w:pPr>
        <w:ind w:left="5457" w:hanging="360"/>
      </w:pPr>
      <w:rPr>
        <w:rFonts w:ascii="Courier New" w:hAnsi="Courier New" w:cs="Courier New" w:hint="default"/>
      </w:rPr>
    </w:lvl>
    <w:lvl w:ilvl="8" w:tplc="04180005" w:tentative="1">
      <w:start w:val="1"/>
      <w:numFmt w:val="bullet"/>
      <w:lvlText w:val=""/>
      <w:lvlJc w:val="left"/>
      <w:pPr>
        <w:ind w:left="6177" w:hanging="360"/>
      </w:pPr>
      <w:rPr>
        <w:rFonts w:ascii="Wingdings" w:hAnsi="Wingdings" w:hint="default"/>
      </w:rPr>
    </w:lvl>
  </w:abstractNum>
  <w:abstractNum w:abstractNumId="4" w15:restartNumberingAfterBreak="0">
    <w:nsid w:val="2FCC5A11"/>
    <w:multiLevelType w:val="hybridMultilevel"/>
    <w:tmpl w:val="B86A433C"/>
    <w:lvl w:ilvl="0" w:tplc="BB9CCA16">
      <w:start w:val="1"/>
      <w:numFmt w:val="decimal"/>
      <w:lvlText w:val="6.%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36E536E1"/>
    <w:multiLevelType w:val="hybridMultilevel"/>
    <w:tmpl w:val="1A569F7C"/>
    <w:lvl w:ilvl="0" w:tplc="FF863D12">
      <w:start w:val="1"/>
      <w:numFmt w:val="decimal"/>
      <w:lvlText w:val="1.%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FA440FD"/>
    <w:multiLevelType w:val="hybridMultilevel"/>
    <w:tmpl w:val="F7366D60"/>
    <w:lvl w:ilvl="0" w:tplc="851AB1B0">
      <w:start w:val="2"/>
      <w:numFmt w:val="bullet"/>
      <w:lvlText w:val="-"/>
      <w:lvlJc w:val="left"/>
      <w:pPr>
        <w:ind w:left="777" w:hanging="360"/>
      </w:pPr>
      <w:rPr>
        <w:rFonts w:ascii="Calibri" w:eastAsia="Calibri" w:hAnsi="Calibri" w:cs="Calibri"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7" w15:restartNumberingAfterBreak="0">
    <w:nsid w:val="44A66787"/>
    <w:multiLevelType w:val="hybridMultilevel"/>
    <w:tmpl w:val="CEEE08F0"/>
    <w:lvl w:ilvl="0" w:tplc="C62E8F74">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44FD6B9B"/>
    <w:multiLevelType w:val="multilevel"/>
    <w:tmpl w:val="37005C96"/>
    <w:lvl w:ilvl="0">
      <w:start w:val="1"/>
      <w:numFmt w:val="decimal"/>
      <w:lvlText w:val="%1."/>
      <w:lvlJc w:val="left"/>
      <w:pPr>
        <w:ind w:left="360" w:hanging="360"/>
      </w:pPr>
      <w:rPr>
        <w:rFonts w:hint="default"/>
        <w:b/>
        <w:u w:val="none"/>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F787057"/>
    <w:multiLevelType w:val="hybridMultilevel"/>
    <w:tmpl w:val="68EA610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6D423FA3"/>
    <w:multiLevelType w:val="hybridMultilevel"/>
    <w:tmpl w:val="04FEDAAA"/>
    <w:lvl w:ilvl="0" w:tplc="D664426A">
      <w:start w:val="1"/>
      <w:numFmt w:val="decimal"/>
      <w:lvlText w:val="4.%1."/>
      <w:lvlJc w:val="left"/>
      <w:pPr>
        <w:ind w:left="417" w:hanging="360"/>
      </w:pPr>
      <w:rPr>
        <w:rFonts w:hint="default"/>
      </w:rPr>
    </w:lvl>
    <w:lvl w:ilvl="1" w:tplc="04180019" w:tentative="1">
      <w:start w:val="1"/>
      <w:numFmt w:val="lowerLetter"/>
      <w:lvlText w:val="%2."/>
      <w:lvlJc w:val="left"/>
      <w:pPr>
        <w:ind w:left="1497" w:hanging="360"/>
      </w:pPr>
    </w:lvl>
    <w:lvl w:ilvl="2" w:tplc="0418001B" w:tentative="1">
      <w:start w:val="1"/>
      <w:numFmt w:val="lowerRoman"/>
      <w:lvlText w:val="%3."/>
      <w:lvlJc w:val="right"/>
      <w:pPr>
        <w:ind w:left="2217" w:hanging="180"/>
      </w:pPr>
    </w:lvl>
    <w:lvl w:ilvl="3" w:tplc="0418000F" w:tentative="1">
      <w:start w:val="1"/>
      <w:numFmt w:val="decimal"/>
      <w:lvlText w:val="%4."/>
      <w:lvlJc w:val="left"/>
      <w:pPr>
        <w:ind w:left="2937" w:hanging="360"/>
      </w:pPr>
    </w:lvl>
    <w:lvl w:ilvl="4" w:tplc="04180019" w:tentative="1">
      <w:start w:val="1"/>
      <w:numFmt w:val="lowerLetter"/>
      <w:lvlText w:val="%5."/>
      <w:lvlJc w:val="left"/>
      <w:pPr>
        <w:ind w:left="3657" w:hanging="360"/>
      </w:pPr>
    </w:lvl>
    <w:lvl w:ilvl="5" w:tplc="0418001B" w:tentative="1">
      <w:start w:val="1"/>
      <w:numFmt w:val="lowerRoman"/>
      <w:lvlText w:val="%6."/>
      <w:lvlJc w:val="right"/>
      <w:pPr>
        <w:ind w:left="4377" w:hanging="180"/>
      </w:pPr>
    </w:lvl>
    <w:lvl w:ilvl="6" w:tplc="0418000F" w:tentative="1">
      <w:start w:val="1"/>
      <w:numFmt w:val="decimal"/>
      <w:lvlText w:val="%7."/>
      <w:lvlJc w:val="left"/>
      <w:pPr>
        <w:ind w:left="5097" w:hanging="360"/>
      </w:pPr>
    </w:lvl>
    <w:lvl w:ilvl="7" w:tplc="04180019" w:tentative="1">
      <w:start w:val="1"/>
      <w:numFmt w:val="lowerLetter"/>
      <w:lvlText w:val="%8."/>
      <w:lvlJc w:val="left"/>
      <w:pPr>
        <w:ind w:left="5817" w:hanging="360"/>
      </w:pPr>
    </w:lvl>
    <w:lvl w:ilvl="8" w:tplc="0418001B" w:tentative="1">
      <w:start w:val="1"/>
      <w:numFmt w:val="lowerRoman"/>
      <w:lvlText w:val="%9."/>
      <w:lvlJc w:val="right"/>
      <w:pPr>
        <w:ind w:left="6537" w:hanging="180"/>
      </w:pPr>
    </w:lvl>
  </w:abstractNum>
  <w:abstractNum w:abstractNumId="11" w15:restartNumberingAfterBreak="0">
    <w:nsid w:val="7169196D"/>
    <w:multiLevelType w:val="hybridMultilevel"/>
    <w:tmpl w:val="03C04FEA"/>
    <w:lvl w:ilvl="0" w:tplc="2B6083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2" w15:restartNumberingAfterBreak="0">
    <w:nsid w:val="7AC06CBC"/>
    <w:multiLevelType w:val="hybridMultilevel"/>
    <w:tmpl w:val="8C2606FE"/>
    <w:lvl w:ilvl="0" w:tplc="159C5202">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15:restartNumberingAfterBreak="0">
    <w:nsid w:val="7B2C1F35"/>
    <w:multiLevelType w:val="hybridMultilevel"/>
    <w:tmpl w:val="BAAE1498"/>
    <w:lvl w:ilvl="0" w:tplc="7182E460">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13"/>
  </w:num>
  <w:num w:numId="6">
    <w:abstractNumId w:val="4"/>
  </w:num>
  <w:num w:numId="7">
    <w:abstractNumId w:val="5"/>
  </w:num>
  <w:num w:numId="8">
    <w:abstractNumId w:val="3"/>
  </w:num>
  <w:num w:numId="9">
    <w:abstractNumId w:val="6"/>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63B"/>
    <w:rsid w:val="0016236F"/>
    <w:rsid w:val="003B5E14"/>
    <w:rsid w:val="00921FB4"/>
    <w:rsid w:val="00CE155C"/>
    <w:rsid w:val="00DE1124"/>
    <w:rsid w:val="00E8663B"/>
    <w:rsid w:val="00EC525F"/>
    <w:rsid w:val="00F1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3D36"/>
  <w15:docId w15:val="{DBFB784E-8F3D-430B-B415-2647A6FB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55C"/>
    <w:pPr>
      <w:spacing w:after="0" w:line="300" w:lineRule="auto"/>
      <w:jc w:val="both"/>
    </w:pPr>
    <w:rPr>
      <w:rFonts w:ascii="Trebuchet MS" w:eastAsiaTheme="minorEastAsia" w:hAnsi="Trebuchet MS"/>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CE155C"/>
    <w:pPr>
      <w:ind w:left="720"/>
      <w:contextualSpacing/>
    </w:pPr>
  </w:style>
  <w:style w:type="table" w:styleId="TableGrid">
    <w:name w:val="Table Grid"/>
    <w:basedOn w:val="TableNormal"/>
    <w:uiPriority w:val="39"/>
    <w:rsid w:val="00CE155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55C"/>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CE155C"/>
    <w:rPr>
      <w:rFonts w:ascii="Trebuchet MS" w:eastAsiaTheme="minorEastAsia" w:hAnsi="Trebuchet MS"/>
      <w:szCs w:val="17"/>
      <w:lang w:eastAsia="ja-JP"/>
    </w:rPr>
  </w:style>
  <w:style w:type="paragraph" w:customStyle="1" w:styleId="CM1">
    <w:name w:val="CM1"/>
    <w:basedOn w:val="Default"/>
    <w:next w:val="Default"/>
    <w:uiPriority w:val="99"/>
    <w:rsid w:val="00CE155C"/>
    <w:rPr>
      <w:rFonts w:ascii="EUAlbertina" w:eastAsia="Times New Roman" w:hAnsi="EUAlbertina"/>
      <w:color w:val="auto"/>
      <w:lang w:eastAsia="ro-RO"/>
    </w:rPr>
  </w:style>
  <w:style w:type="paragraph" w:customStyle="1" w:styleId="CM4">
    <w:name w:val="CM4"/>
    <w:basedOn w:val="Default"/>
    <w:next w:val="Default"/>
    <w:uiPriority w:val="99"/>
    <w:rsid w:val="00CE155C"/>
    <w:rPr>
      <w:rFonts w:ascii="EUAlbertina" w:eastAsia="Times New Roman" w:hAnsi="EUAlbertina"/>
      <w:color w:val="auto"/>
      <w:lang w:eastAsia="ro-RO"/>
    </w:rPr>
  </w:style>
  <w:style w:type="paragraph" w:styleId="BalloonText">
    <w:name w:val="Balloon Text"/>
    <w:basedOn w:val="Normal"/>
    <w:link w:val="BalloonTextChar"/>
    <w:uiPriority w:val="99"/>
    <w:semiHidden/>
    <w:unhideWhenUsed/>
    <w:rsid w:val="00DE11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124"/>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Olar</dc:creator>
  <cp:keywords/>
  <dc:description/>
  <cp:lastModifiedBy>123</cp:lastModifiedBy>
  <cp:revision>5</cp:revision>
  <dcterms:created xsi:type="dcterms:W3CDTF">2018-02-05T07:48:00Z</dcterms:created>
  <dcterms:modified xsi:type="dcterms:W3CDTF">2018-08-27T19:15:00Z</dcterms:modified>
</cp:coreProperties>
</file>