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10" w:type="dxa"/>
          <w:right w:w="10" w:type="dxa"/>
        </w:tblCellMar>
        <w:tblLook w:val="04A0" w:firstRow="1" w:lastRow="0" w:firstColumn="1" w:lastColumn="0" w:noHBand="0" w:noVBand="1"/>
      </w:tblPr>
      <w:tblGrid>
        <w:gridCol w:w="3270"/>
        <w:gridCol w:w="3213"/>
        <w:gridCol w:w="2533"/>
      </w:tblGrid>
      <w:tr w:rsidR="00CA411F" w14:paraId="2A81695A" w14:textId="77777777">
        <w:tblPrEx>
          <w:tblCellMar>
            <w:top w:w="0" w:type="dxa"/>
            <w:bottom w:w="0" w:type="dxa"/>
          </w:tblCellMar>
        </w:tblPrEx>
        <w:trPr>
          <w:trHeight w:val="377"/>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14:paraId="6ECB29BD" w14:textId="77777777" w:rsidR="00CA411F" w:rsidRDefault="00746B4C">
            <w:pPr>
              <w:spacing w:line="276" w:lineRule="auto"/>
              <w:rPr>
                <w:b/>
                <w:color w:val="FFFFFF"/>
                <w:szCs w:val="22"/>
              </w:rPr>
            </w:pPr>
            <w:bookmarkStart w:id="0" w:name="_GoBack"/>
            <w:bookmarkEnd w:id="0"/>
            <w:r>
              <w:rPr>
                <w:b/>
                <w:color w:val="FFFFFF"/>
                <w:szCs w:val="22"/>
              </w:rPr>
              <w:t>Denumirea măsurii</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14:paraId="030D2642" w14:textId="77777777" w:rsidR="00CA411F" w:rsidRDefault="00746B4C">
            <w:pPr>
              <w:spacing w:line="276" w:lineRule="auto"/>
              <w:rPr>
                <w:b/>
                <w:color w:val="FFFFFF"/>
                <w:szCs w:val="22"/>
              </w:rPr>
            </w:pPr>
            <w:r>
              <w:rPr>
                <w:b/>
                <w:color w:val="FFFFFF"/>
                <w:szCs w:val="22"/>
              </w:rPr>
              <w:t>Dezvoltarea infrastructurii sociale</w:t>
            </w:r>
          </w:p>
        </w:tc>
      </w:tr>
      <w:tr w:rsidR="00CA411F" w14:paraId="7F8599B4" w14:textId="77777777">
        <w:tblPrEx>
          <w:tblCellMar>
            <w:top w:w="0" w:type="dxa"/>
            <w:bottom w:w="0" w:type="dxa"/>
          </w:tblCellMar>
        </w:tblPrEx>
        <w:trPr>
          <w:trHeight w:val="412"/>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35E17" w14:textId="77777777" w:rsidR="00CA411F" w:rsidRDefault="00746B4C">
            <w:pPr>
              <w:spacing w:line="276" w:lineRule="auto"/>
              <w:rPr>
                <w:b/>
                <w:color w:val="000000"/>
                <w:szCs w:val="22"/>
              </w:rPr>
            </w:pPr>
            <w:r>
              <w:rPr>
                <w:b/>
                <w:color w:val="000000"/>
                <w:szCs w:val="22"/>
              </w:rPr>
              <w:t>Codul măsurii</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D7246" w14:textId="77777777" w:rsidR="00CA411F" w:rsidRDefault="00746B4C">
            <w:pPr>
              <w:spacing w:line="276" w:lineRule="auto"/>
              <w:rPr>
                <w:b/>
                <w:szCs w:val="22"/>
              </w:rPr>
            </w:pPr>
            <w:r>
              <w:rPr>
                <w:b/>
                <w:szCs w:val="22"/>
              </w:rPr>
              <w:t>Măsura  M3/6B</w:t>
            </w:r>
          </w:p>
        </w:tc>
      </w:tr>
      <w:tr w:rsidR="00CA411F" w14:paraId="3BB32FB0" w14:textId="77777777">
        <w:tblPrEx>
          <w:tblCellMar>
            <w:top w:w="0" w:type="dxa"/>
            <w:bottom w:w="0" w:type="dxa"/>
          </w:tblCellMar>
        </w:tblPrEx>
        <w:trPr>
          <w:trHeight w:val="273"/>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68A06" w14:textId="77777777" w:rsidR="00CA411F" w:rsidRDefault="00746B4C">
            <w:pPr>
              <w:spacing w:line="276" w:lineRule="auto"/>
              <w:rPr>
                <w:b/>
                <w:color w:val="000000"/>
                <w:szCs w:val="22"/>
              </w:rPr>
            </w:pPr>
            <w:r>
              <w:rPr>
                <w:b/>
                <w:color w:val="000000"/>
                <w:szCs w:val="22"/>
              </w:rPr>
              <w:t>Tipul măsurii</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C9D6EE" w14:textId="77777777" w:rsidR="00CA411F" w:rsidRDefault="00746B4C">
            <w:pPr>
              <w:pStyle w:val="Default"/>
              <w:spacing w:line="276" w:lineRule="auto"/>
              <w:jc w:val="both"/>
            </w:pPr>
            <w:r>
              <w:rPr>
                <w:rFonts w:ascii="Wingdings" w:eastAsia="Wingdings" w:hAnsi="Wingdings" w:cs="Wingdings"/>
                <w:sz w:val="22"/>
                <w:szCs w:val="22"/>
              </w:rPr>
              <w:t></w:t>
            </w:r>
            <w:r>
              <w:rPr>
                <w:rFonts w:ascii="Trebuchet MS" w:hAnsi="Trebuchet MS"/>
                <w:sz w:val="22"/>
                <w:szCs w:val="22"/>
              </w:rPr>
              <w:t xml:space="preserve"> </w:t>
            </w:r>
            <w:r>
              <w:rPr>
                <w:rFonts w:ascii="Trebuchet MS" w:hAnsi="Trebuchet MS"/>
                <w:b/>
                <w:sz w:val="22"/>
                <w:szCs w:val="22"/>
              </w:rPr>
              <w:t>INVESTIȚII</w:t>
            </w:r>
            <w:r>
              <w:rPr>
                <w:rFonts w:ascii="Trebuchet MS" w:hAnsi="Trebuchet MS"/>
                <w:sz w:val="22"/>
                <w:szCs w:val="22"/>
              </w:rPr>
              <w:t xml:space="preserve"> </w:t>
            </w:r>
          </w:p>
          <w:p w14:paraId="0D473EA2" w14:textId="77777777" w:rsidR="00CA411F" w:rsidRDefault="00746B4C">
            <w:pPr>
              <w:pStyle w:val="Default"/>
              <w:spacing w:line="276" w:lineRule="auto"/>
              <w:jc w:val="both"/>
            </w:pPr>
            <w:r>
              <w:rPr>
                <w:rFonts w:ascii="Wingdings" w:eastAsia="Wingdings" w:hAnsi="Wingdings" w:cs="Wingdings"/>
                <w:sz w:val="22"/>
                <w:szCs w:val="22"/>
              </w:rPr>
              <w:t></w:t>
            </w:r>
            <w:r>
              <w:rPr>
                <w:rFonts w:ascii="Trebuchet MS" w:hAnsi="Trebuchet MS"/>
                <w:sz w:val="22"/>
                <w:szCs w:val="22"/>
              </w:rPr>
              <w:t xml:space="preserve">  </w:t>
            </w:r>
            <w:r>
              <w:rPr>
                <w:rFonts w:ascii="Trebuchet MS" w:hAnsi="Trebuchet MS"/>
                <w:b/>
                <w:sz w:val="22"/>
                <w:szCs w:val="22"/>
              </w:rPr>
              <w:t>SERVICII</w:t>
            </w:r>
            <w:r>
              <w:rPr>
                <w:rFonts w:ascii="Trebuchet MS" w:hAnsi="Trebuchet MS"/>
                <w:sz w:val="22"/>
                <w:szCs w:val="22"/>
              </w:rPr>
              <w:t xml:space="preserve"> </w:t>
            </w:r>
          </w:p>
          <w:p w14:paraId="013A7BFC" w14:textId="77777777" w:rsidR="00CA411F" w:rsidRDefault="00746B4C">
            <w:pPr>
              <w:pStyle w:val="Default"/>
              <w:spacing w:line="276" w:lineRule="auto"/>
              <w:jc w:val="both"/>
            </w:pPr>
            <w:r>
              <w:rPr>
                <w:rFonts w:ascii="Wingdings" w:eastAsia="Wingdings" w:hAnsi="Wingdings" w:cs="Wingdings"/>
                <w:sz w:val="22"/>
                <w:szCs w:val="22"/>
              </w:rPr>
              <w:t></w:t>
            </w:r>
            <w:r>
              <w:rPr>
                <w:rFonts w:ascii="Trebuchet MS" w:hAnsi="Trebuchet MS"/>
                <w:sz w:val="22"/>
                <w:szCs w:val="22"/>
              </w:rPr>
              <w:t xml:space="preserve">  </w:t>
            </w:r>
            <w:r>
              <w:rPr>
                <w:rFonts w:ascii="Trebuchet MS" w:hAnsi="Trebuchet MS"/>
                <w:b/>
                <w:sz w:val="22"/>
                <w:szCs w:val="22"/>
              </w:rPr>
              <w:t>SPRIJIN FORFETAR</w:t>
            </w:r>
          </w:p>
        </w:tc>
      </w:tr>
      <w:tr w:rsidR="00CA411F" w14:paraId="045A3684" w14:textId="77777777">
        <w:tblPrEx>
          <w:tblCellMar>
            <w:top w:w="0" w:type="dxa"/>
            <w:bottom w:w="0" w:type="dxa"/>
          </w:tblCellMar>
        </w:tblPrEx>
        <w:trPr>
          <w:trHeight w:val="394"/>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9552B" w14:textId="77777777" w:rsidR="00CA411F" w:rsidRDefault="00746B4C">
            <w:pPr>
              <w:spacing w:line="276" w:lineRule="auto"/>
            </w:pPr>
            <w:r>
              <w:rPr>
                <w:b/>
                <w:color w:val="000000"/>
                <w:szCs w:val="22"/>
              </w:rPr>
              <w:t>1.Descrierea generală a măsurii</w:t>
            </w:r>
          </w:p>
          <w:p w14:paraId="06853CF3" w14:textId="77777777" w:rsidR="00CA411F" w:rsidRDefault="00746B4C">
            <w:pPr>
              <w:pStyle w:val="Default"/>
              <w:spacing w:line="276" w:lineRule="auto"/>
              <w:jc w:val="both"/>
            </w:pPr>
            <w:r>
              <w:rPr>
                <w:rFonts w:ascii="Trebuchet MS" w:eastAsia="Times New Roman" w:hAnsi="Trebuchet MS"/>
                <w:b/>
                <w:color w:val="auto"/>
                <w:sz w:val="22"/>
                <w:szCs w:val="22"/>
                <w:lang w:eastAsia="ro-RO"/>
              </w:rPr>
              <w:t>Obiectivul</w:t>
            </w:r>
            <w:r>
              <w:rPr>
                <w:rFonts w:ascii="Trebuchet MS" w:eastAsia="Times New Roman" w:hAnsi="Trebuchet MS"/>
                <w:color w:val="auto"/>
                <w:sz w:val="22"/>
                <w:szCs w:val="22"/>
                <w:lang w:eastAsia="ro-RO"/>
              </w:rPr>
              <w:t xml:space="preserve"> măsurii constă în asigurarea cadrului </w:t>
            </w:r>
            <w:r>
              <w:rPr>
                <w:rFonts w:ascii="Trebuchet MS" w:eastAsia="Times New Roman" w:hAnsi="Trebuchet MS"/>
                <w:color w:val="auto"/>
                <w:sz w:val="22"/>
                <w:szCs w:val="22"/>
                <w:lang w:eastAsia="ro-RO"/>
              </w:rPr>
              <w:t>prielnic pentru dezvoltarea de servicii sociale în concordanță cu nevoile identificate în analiza teritoriului. Finalitatea măsurii se va concretiza în dezvoltarea și/sau modernizarea infrastructuri aferente unor servicii sociale identificate a fi subdezvo</w:t>
            </w:r>
            <w:r>
              <w:rPr>
                <w:rFonts w:ascii="Trebuchet MS" w:eastAsia="Times New Roman" w:hAnsi="Trebuchet MS"/>
                <w:color w:val="auto"/>
                <w:sz w:val="22"/>
                <w:szCs w:val="22"/>
                <w:lang w:eastAsia="ro-RO"/>
              </w:rPr>
              <w:t>ltate în teritoriu.</w:t>
            </w:r>
          </w:p>
          <w:p w14:paraId="407FE016" w14:textId="77777777" w:rsidR="00CA411F" w:rsidRDefault="00746B4C">
            <w:pPr>
              <w:pStyle w:val="Default"/>
              <w:spacing w:line="276" w:lineRule="auto"/>
              <w:jc w:val="both"/>
              <w:rPr>
                <w:rFonts w:ascii="Trebuchet MS" w:eastAsia="Times New Roman" w:hAnsi="Trebuchet MS"/>
                <w:color w:val="auto"/>
                <w:sz w:val="22"/>
                <w:szCs w:val="22"/>
                <w:lang w:eastAsia="ro-RO"/>
              </w:rPr>
            </w:pPr>
            <w:r>
              <w:rPr>
                <w:rFonts w:ascii="Trebuchet MS" w:eastAsia="Times New Roman" w:hAnsi="Trebuchet MS"/>
                <w:color w:val="auto"/>
                <w:sz w:val="22"/>
                <w:szCs w:val="22"/>
                <w:lang w:eastAsia="ro-RO"/>
              </w:rPr>
              <w:t xml:space="preserve">Măsura va contribui la îmbunătățirea calității vieții locuitorilor prin asigurarea și accesibilizarea serviciilor sociale. Realizarea obiectivelor măsurii contribuie la inversarea tendințelor de declin economic și social și de </w:t>
            </w:r>
            <w:r>
              <w:rPr>
                <w:rFonts w:ascii="Trebuchet MS" w:eastAsia="Times New Roman" w:hAnsi="Trebuchet MS"/>
                <w:color w:val="auto"/>
                <w:sz w:val="22"/>
                <w:szCs w:val="22"/>
                <w:lang w:eastAsia="ro-RO"/>
              </w:rPr>
              <w:t>depopulare a zonelor rurale.</w:t>
            </w:r>
          </w:p>
          <w:p w14:paraId="04C49379" w14:textId="77777777" w:rsidR="00CA411F" w:rsidRDefault="00746B4C">
            <w:pPr>
              <w:pStyle w:val="Default"/>
              <w:spacing w:line="276" w:lineRule="auto"/>
              <w:jc w:val="both"/>
            </w:pPr>
            <w:r>
              <w:rPr>
                <w:rFonts w:ascii="Trebuchet MS" w:eastAsia="Times New Roman" w:hAnsi="Trebuchet MS"/>
                <w:b/>
                <w:color w:val="auto"/>
                <w:sz w:val="22"/>
                <w:szCs w:val="22"/>
                <w:lang w:eastAsia="ro-RO"/>
              </w:rPr>
              <w:t>Scopul</w:t>
            </w:r>
            <w:r>
              <w:rPr>
                <w:rFonts w:ascii="Trebuchet MS" w:eastAsia="Times New Roman" w:hAnsi="Trebuchet MS"/>
                <w:color w:val="auto"/>
                <w:sz w:val="22"/>
                <w:szCs w:val="22"/>
                <w:lang w:eastAsia="ro-RO"/>
              </w:rPr>
              <w:t xml:space="preserve"> proiectelor finanţate în cadrul acestei măsuri este facilitarea investiţiilor în infrastructura de tip “hard” urmând ca investițiile de tip “soft” să fie asigurate de solicitant din surse proprii sau prin accesarea Obiec</w:t>
            </w:r>
            <w:r>
              <w:rPr>
                <w:rFonts w:ascii="Trebuchet MS" w:eastAsia="Times New Roman" w:hAnsi="Trebuchet MS"/>
                <w:color w:val="auto"/>
                <w:sz w:val="22"/>
                <w:szCs w:val="22"/>
                <w:lang w:eastAsia="ro-RO"/>
              </w:rPr>
              <w:t>tivului specific 5.2 din cadrul POCU 2014-2020. Investițiile de tip “soft” contribuie la integrarea socială a grupurilor vulnerabile vizate de proiectele finanţate, prin asigurarea accesului la servicii calitative de educaţie si formare profesionala şi aco</w:t>
            </w:r>
            <w:r>
              <w:rPr>
                <w:rFonts w:ascii="Trebuchet MS" w:eastAsia="Times New Roman" w:hAnsi="Trebuchet MS"/>
                <w:color w:val="auto"/>
                <w:sz w:val="22"/>
                <w:szCs w:val="22"/>
                <w:lang w:eastAsia="ro-RO"/>
              </w:rPr>
              <w:t>perirea cheltuielilor pentru funcţionarea si desfășurarea activităţilor aferente investiţiilor de tip “hard” finanţate.</w:t>
            </w:r>
          </w:p>
        </w:tc>
      </w:tr>
      <w:tr w:rsidR="00CA411F" w14:paraId="4800D2E2" w14:textId="77777777">
        <w:tblPrEx>
          <w:tblCellMar>
            <w:top w:w="0" w:type="dxa"/>
            <w:bottom w:w="0" w:type="dxa"/>
          </w:tblCellMar>
        </w:tblPrEx>
        <w:trPr>
          <w:trHeight w:val="35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2A37" w14:textId="77777777" w:rsidR="00CA411F" w:rsidRDefault="00746B4C">
            <w:pPr>
              <w:pStyle w:val="ListParagraph"/>
              <w:numPr>
                <w:ilvl w:val="1"/>
                <w:numId w:val="1"/>
              </w:numPr>
              <w:tabs>
                <w:tab w:val="left" w:pos="540"/>
              </w:tabs>
              <w:spacing w:line="276" w:lineRule="auto"/>
              <w:ind w:left="510" w:hanging="510"/>
              <w:jc w:val="left"/>
              <w:rPr>
                <w:b/>
                <w:color w:val="000000"/>
                <w:szCs w:val="22"/>
                <w:lang w:eastAsia="en-US"/>
              </w:rPr>
            </w:pPr>
            <w:r>
              <w:rPr>
                <w:b/>
                <w:color w:val="000000"/>
                <w:szCs w:val="22"/>
                <w:lang w:eastAsia="en-US"/>
              </w:rPr>
              <w:t>Justificare și corelare cu analiza SWOT</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245AB" w14:textId="77777777" w:rsidR="00CA411F" w:rsidRDefault="00746B4C">
            <w:pPr>
              <w:spacing w:line="276" w:lineRule="auto"/>
              <w:rPr>
                <w:color w:val="000000"/>
                <w:szCs w:val="22"/>
              </w:rPr>
            </w:pPr>
            <w:r>
              <w:rPr>
                <w:color w:val="000000"/>
                <w:szCs w:val="22"/>
              </w:rPr>
              <w:t xml:space="preserve">În ceea ce privește nevoile identificate în teritoriul GAL Someș Transilvan, din analiza </w:t>
            </w:r>
            <w:r>
              <w:rPr>
                <w:color w:val="000000"/>
                <w:szCs w:val="22"/>
              </w:rPr>
              <w:t>SWOT observăm existența unei infrastructuri sociale slab dezvoltate.</w:t>
            </w:r>
          </w:p>
          <w:p w14:paraId="6A1761BF" w14:textId="77777777" w:rsidR="00CA411F" w:rsidRDefault="00746B4C">
            <w:pPr>
              <w:spacing w:line="276" w:lineRule="auto"/>
              <w:rPr>
                <w:color w:val="000000"/>
                <w:szCs w:val="22"/>
              </w:rPr>
            </w:pPr>
            <w:r>
              <w:rPr>
                <w:color w:val="000000"/>
                <w:szCs w:val="22"/>
              </w:rPr>
              <w:t>Serviciile sociale prezente în teritoriu sunt oferite în special de către ONG-uri active în domeniu, dar acestea nu dispun de infrastructura adecvată desfășurării activităților. O infrast</w:t>
            </w:r>
            <w:r>
              <w:rPr>
                <w:color w:val="000000"/>
                <w:szCs w:val="22"/>
              </w:rPr>
              <w:t>ructură socială adecvată pe de o parte ar îmbunătăți calitatea serviciilor existente, pe de altă parte ar ajuta la crearea de noi servicii sociale, pentru care există o nevoie crescută: în teritoriul analizat există un număr total de 420 de persoane care b</w:t>
            </w:r>
            <w:r>
              <w:rPr>
                <w:color w:val="000000"/>
                <w:szCs w:val="22"/>
              </w:rPr>
              <w:t>eneficiază de ajutor social, 1448 de persoane care beneficiază de ajutor de încălzire, și există totodată 547 de persoane care primesc indemnizația lunară pentru persoanele cu dizabilități. De asemenea, în cadrul grupurilor vulnerabile au fost identificate</w:t>
            </w:r>
            <w:r>
              <w:rPr>
                <w:color w:val="000000"/>
                <w:szCs w:val="22"/>
              </w:rPr>
              <w:t xml:space="preserve"> 151 familii monoparentale, 889 familii cu peste doi copii, 555 persoane care trăiesc din venitul minim garantat, 2035 persoane de etnie romă, dintre care un procent semnificativ trăiesc în gospodării segregate, în special la marginea localităților. Au fos</w:t>
            </w:r>
            <w:r>
              <w:rPr>
                <w:color w:val="000000"/>
                <w:szCs w:val="22"/>
              </w:rPr>
              <w:t>t identificate un număr de 5 comunități segregate, cu un total de 53 de gospodării aferente acestora</w:t>
            </w:r>
          </w:p>
          <w:p w14:paraId="1E0DD82C" w14:textId="77777777" w:rsidR="00CA411F" w:rsidRDefault="00746B4C">
            <w:pPr>
              <w:spacing w:line="276" w:lineRule="auto"/>
              <w:rPr>
                <w:color w:val="000000"/>
                <w:szCs w:val="22"/>
              </w:rPr>
            </w:pPr>
            <w:r>
              <w:rPr>
                <w:color w:val="000000"/>
                <w:szCs w:val="22"/>
              </w:rPr>
              <w:t xml:space="preserve">Alt aspect care este caracteristic teritoriului este legat de îmbătrânirea populației, fapt care conduce inevitabil </w:t>
            </w:r>
            <w:r>
              <w:rPr>
                <w:color w:val="000000"/>
                <w:szCs w:val="22"/>
              </w:rPr>
              <w:lastRenderedPageBreak/>
              <w:t>la necesitatea dezvoltării unor servici</w:t>
            </w:r>
            <w:r>
              <w:rPr>
                <w:color w:val="000000"/>
                <w:szCs w:val="22"/>
              </w:rPr>
              <w:t>i sociale destinate incluziunii persoanelor vârstnice.</w:t>
            </w:r>
          </w:p>
          <w:p w14:paraId="142AC629" w14:textId="77777777" w:rsidR="00CA411F" w:rsidRDefault="00746B4C">
            <w:pPr>
              <w:spacing w:line="276" w:lineRule="auto"/>
              <w:rPr>
                <w:color w:val="000000"/>
                <w:szCs w:val="22"/>
              </w:rPr>
            </w:pPr>
            <w:r>
              <w:rPr>
                <w:color w:val="000000"/>
                <w:szCs w:val="22"/>
              </w:rPr>
              <w:t>Accelerarea fenomenului de îmbătrânire a populației, creșterea numărului de persoane expuse riscului sărăciei impune ca necesitate accelerarea găsirii unor soluții de infrastructură și servicii adecvat</w:t>
            </w:r>
            <w:r>
              <w:rPr>
                <w:color w:val="000000"/>
                <w:szCs w:val="22"/>
              </w:rPr>
              <w:t>e și încurajarea parteneriatelor public-privat.</w:t>
            </w:r>
          </w:p>
        </w:tc>
      </w:tr>
      <w:tr w:rsidR="00CA411F" w14:paraId="7440A551" w14:textId="77777777">
        <w:tblPrEx>
          <w:tblCellMar>
            <w:top w:w="0" w:type="dxa"/>
            <w:bottom w:w="0" w:type="dxa"/>
          </w:tblCellMar>
        </w:tblPrEx>
        <w:trPr>
          <w:trHeight w:val="431"/>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70696" w14:textId="77777777" w:rsidR="00CA411F" w:rsidRDefault="00746B4C">
            <w:pPr>
              <w:pStyle w:val="ListParagraph"/>
              <w:numPr>
                <w:ilvl w:val="1"/>
                <w:numId w:val="1"/>
              </w:numPr>
              <w:tabs>
                <w:tab w:val="left" w:pos="540"/>
              </w:tabs>
              <w:spacing w:line="276" w:lineRule="auto"/>
              <w:ind w:left="510" w:hanging="510"/>
              <w:jc w:val="left"/>
              <w:rPr>
                <w:b/>
                <w:color w:val="000000"/>
                <w:szCs w:val="22"/>
                <w:lang w:eastAsia="en-US"/>
              </w:rPr>
            </w:pPr>
            <w:r>
              <w:rPr>
                <w:b/>
                <w:color w:val="000000"/>
                <w:szCs w:val="22"/>
                <w:lang w:eastAsia="en-US"/>
              </w:rPr>
              <w:lastRenderedPageBreak/>
              <w:t>Obiectiv(e) de dezvoltare rurală al Reg. (UE) 1305/2013, art.4</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48434" w14:textId="77777777" w:rsidR="00CA411F" w:rsidRDefault="00746B4C">
            <w:pPr>
              <w:pStyle w:val="ListParagraph"/>
              <w:tabs>
                <w:tab w:val="left" w:pos="231"/>
                <w:tab w:val="left" w:pos="341"/>
              </w:tabs>
              <w:spacing w:line="276" w:lineRule="auto"/>
              <w:ind w:left="57"/>
              <w:rPr>
                <w:color w:val="000000"/>
                <w:szCs w:val="22"/>
              </w:rPr>
            </w:pPr>
            <w:r>
              <w:rPr>
                <w:color w:val="000000"/>
                <w:szCs w:val="22"/>
              </w:rPr>
              <w:t>iii) Obținerea unei dezvoltări teritoriale echilibrate a economiilor și comunităţilor rurale, inclusiv crearea și menținerea de locuri de muncă</w:t>
            </w:r>
          </w:p>
        </w:tc>
      </w:tr>
      <w:tr w:rsidR="00CA411F" w14:paraId="358CFB66" w14:textId="77777777">
        <w:tblPrEx>
          <w:tblCellMar>
            <w:top w:w="0" w:type="dxa"/>
            <w:bottom w:w="0" w:type="dxa"/>
          </w:tblCellMar>
        </w:tblPrEx>
        <w:trPr>
          <w:trHeight w:val="35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2F9E0" w14:textId="77777777" w:rsidR="00CA411F" w:rsidRDefault="00746B4C">
            <w:pPr>
              <w:pStyle w:val="ListParagraph"/>
              <w:numPr>
                <w:ilvl w:val="1"/>
                <w:numId w:val="1"/>
              </w:numPr>
              <w:tabs>
                <w:tab w:val="left" w:pos="540"/>
              </w:tabs>
              <w:spacing w:line="276" w:lineRule="auto"/>
              <w:ind w:left="510" w:hanging="510"/>
              <w:jc w:val="left"/>
              <w:rPr>
                <w:b/>
                <w:color w:val="000000"/>
                <w:szCs w:val="22"/>
                <w:lang w:eastAsia="en-US"/>
              </w:rPr>
            </w:pPr>
            <w:r>
              <w:rPr>
                <w:b/>
                <w:color w:val="000000"/>
                <w:szCs w:val="22"/>
                <w:lang w:eastAsia="en-US"/>
              </w:rPr>
              <w:t>Obiectiv(e) specific(e) local(e) al(e) măsurii</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9047B" w14:textId="77777777" w:rsidR="00CA411F" w:rsidRDefault="00746B4C">
            <w:pPr>
              <w:pStyle w:val="ListParagraph"/>
              <w:numPr>
                <w:ilvl w:val="0"/>
                <w:numId w:val="2"/>
              </w:numPr>
              <w:autoSpaceDE w:val="0"/>
              <w:spacing w:line="276" w:lineRule="auto"/>
              <w:ind w:left="227" w:hanging="227"/>
            </w:pPr>
            <w:r>
              <w:rPr>
                <w:szCs w:val="22"/>
              </w:rPr>
              <w:t>Facilitarea investiţiilor în infrastructura de tip “hard”</w:t>
            </w:r>
          </w:p>
          <w:p w14:paraId="62FDB122" w14:textId="77777777" w:rsidR="00CA411F" w:rsidRDefault="00746B4C">
            <w:pPr>
              <w:pStyle w:val="ListParagraph"/>
              <w:numPr>
                <w:ilvl w:val="0"/>
                <w:numId w:val="2"/>
              </w:numPr>
              <w:autoSpaceDE w:val="0"/>
              <w:spacing w:line="276" w:lineRule="auto"/>
              <w:ind w:left="227" w:hanging="227"/>
            </w:pPr>
            <w:r>
              <w:rPr>
                <w:szCs w:val="22"/>
              </w:rPr>
              <w:t>Integrarea socială a grupurilor vulnerabile</w:t>
            </w:r>
          </w:p>
          <w:p w14:paraId="39814603" w14:textId="77777777" w:rsidR="00CA411F" w:rsidRDefault="00746B4C">
            <w:pPr>
              <w:pStyle w:val="ListParagraph"/>
              <w:numPr>
                <w:ilvl w:val="0"/>
                <w:numId w:val="2"/>
              </w:numPr>
              <w:spacing w:line="276" w:lineRule="auto"/>
              <w:ind w:left="227" w:hanging="227"/>
              <w:rPr>
                <w:szCs w:val="22"/>
              </w:rPr>
            </w:pPr>
            <w:r>
              <w:rPr>
                <w:szCs w:val="22"/>
              </w:rPr>
              <w:t>Îmbunătățirea calităţii serviciilor sociale locale prin investiţii in infrastructura sociala</w:t>
            </w:r>
          </w:p>
          <w:p w14:paraId="2F67A0B5" w14:textId="77777777" w:rsidR="00CA411F" w:rsidRDefault="00746B4C">
            <w:pPr>
              <w:pStyle w:val="ListParagraph"/>
              <w:numPr>
                <w:ilvl w:val="0"/>
                <w:numId w:val="2"/>
              </w:numPr>
              <w:spacing w:line="276" w:lineRule="auto"/>
              <w:ind w:left="227" w:hanging="227"/>
            </w:pPr>
            <w:r>
              <w:rPr>
                <w:szCs w:val="22"/>
              </w:rPr>
              <w:t>Investiţii in</w:t>
            </w:r>
            <w:r>
              <w:rPr>
                <w:szCs w:val="22"/>
              </w:rPr>
              <w:t xml:space="preserve"> crearea, îmbunătăţirea, adaptarea la standardele de funcționare în siguranţa a infrastructurii sociale, incluzând şi investiţii în producere de energie din surse regenerabile şi de economisire a energie</w:t>
            </w:r>
          </w:p>
        </w:tc>
      </w:tr>
      <w:tr w:rsidR="00CA411F" w14:paraId="25133A01" w14:textId="77777777">
        <w:tblPrEx>
          <w:tblCellMar>
            <w:top w:w="0" w:type="dxa"/>
            <w:bottom w:w="0" w:type="dxa"/>
          </w:tblCellMar>
        </w:tblPrEx>
        <w:trPr>
          <w:trHeight w:val="62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954201" w14:textId="77777777" w:rsidR="00CA411F" w:rsidRDefault="00746B4C">
            <w:pPr>
              <w:pStyle w:val="ListParagraph"/>
              <w:numPr>
                <w:ilvl w:val="1"/>
                <w:numId w:val="1"/>
              </w:numPr>
              <w:tabs>
                <w:tab w:val="left" w:pos="540"/>
              </w:tabs>
              <w:spacing w:line="276" w:lineRule="auto"/>
              <w:ind w:left="510" w:hanging="510"/>
              <w:jc w:val="left"/>
              <w:rPr>
                <w:b/>
                <w:color w:val="000000"/>
                <w:szCs w:val="22"/>
                <w:lang w:eastAsia="en-US"/>
              </w:rPr>
            </w:pPr>
            <w:r>
              <w:rPr>
                <w:b/>
                <w:color w:val="000000"/>
                <w:szCs w:val="22"/>
                <w:lang w:eastAsia="en-US"/>
              </w:rPr>
              <w:t xml:space="preserve">Contribuție la </w:t>
            </w:r>
            <w:r>
              <w:rPr>
                <w:b/>
                <w:color w:val="000000"/>
                <w:szCs w:val="22"/>
                <w:lang w:eastAsia="en-US"/>
              </w:rPr>
              <w:t>prioritatea/prioritățile prevăzute la art.5, Reg.(UE) nr.1305/2013</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22B49" w14:textId="77777777" w:rsidR="00CA411F" w:rsidRDefault="00746B4C">
            <w:pPr>
              <w:pStyle w:val="ListParagraph"/>
              <w:tabs>
                <w:tab w:val="left" w:pos="231"/>
              </w:tabs>
              <w:spacing w:line="276" w:lineRule="auto"/>
              <w:ind w:left="57"/>
            </w:pPr>
            <w:r>
              <w:rPr>
                <w:rFonts w:cs="Arial"/>
                <w:b/>
                <w:color w:val="000000"/>
                <w:szCs w:val="22"/>
              </w:rPr>
              <w:t>P6. Promovarea incluziunii sociale, a reducerii sărăciei şi a dezvoltării economice în zonele rurale.</w:t>
            </w:r>
          </w:p>
        </w:tc>
      </w:tr>
      <w:tr w:rsidR="00CA411F" w14:paraId="3C4C2A53" w14:textId="77777777">
        <w:tblPrEx>
          <w:tblCellMar>
            <w:top w:w="0" w:type="dxa"/>
            <w:bottom w:w="0" w:type="dxa"/>
          </w:tblCellMar>
        </w:tblPrEx>
        <w:trPr>
          <w:trHeight w:val="44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511D3" w14:textId="77777777" w:rsidR="00CA411F" w:rsidRDefault="00746B4C">
            <w:pPr>
              <w:pStyle w:val="ListParagraph"/>
              <w:numPr>
                <w:ilvl w:val="1"/>
                <w:numId w:val="1"/>
              </w:numPr>
              <w:tabs>
                <w:tab w:val="left" w:pos="540"/>
              </w:tabs>
              <w:spacing w:line="276" w:lineRule="auto"/>
              <w:ind w:left="510" w:hanging="510"/>
              <w:jc w:val="left"/>
              <w:rPr>
                <w:b/>
                <w:color w:val="000000"/>
                <w:szCs w:val="22"/>
                <w:lang w:eastAsia="en-US"/>
              </w:rPr>
            </w:pPr>
            <w:r>
              <w:rPr>
                <w:b/>
                <w:color w:val="000000"/>
                <w:szCs w:val="22"/>
                <w:lang w:eastAsia="en-US"/>
              </w:rPr>
              <w:t xml:space="preserve">Corespondență cu obiectivele unui articol din Titlul III al Reg. (UE) nr. </w:t>
            </w:r>
            <w:r>
              <w:rPr>
                <w:b/>
                <w:color w:val="000000"/>
                <w:szCs w:val="22"/>
                <w:lang w:eastAsia="en-US"/>
              </w:rPr>
              <w:t xml:space="preserve">1305/2013 </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9C735" w14:textId="77777777" w:rsidR="00CA411F" w:rsidRDefault="00746B4C">
            <w:pPr>
              <w:spacing w:line="276" w:lineRule="auto"/>
              <w:ind w:left="57"/>
            </w:pPr>
            <w:r>
              <w:rPr>
                <w:szCs w:val="22"/>
              </w:rPr>
              <w:t>Măsura corespunde obiectivelor art. 20 Servicii de bază și reînnoirea satelor în zonele rurale</w:t>
            </w:r>
            <w:r>
              <w:rPr>
                <w:rFonts w:cs="EUAlbertina"/>
                <w:bCs/>
                <w:szCs w:val="22"/>
              </w:rPr>
              <w:t xml:space="preserve"> din Reg. (UE) nr. 1305/2013</w:t>
            </w:r>
          </w:p>
        </w:tc>
      </w:tr>
      <w:tr w:rsidR="00CA411F" w14:paraId="33776AB5" w14:textId="77777777">
        <w:tblPrEx>
          <w:tblCellMar>
            <w:top w:w="0" w:type="dxa"/>
            <w:bottom w:w="0" w:type="dxa"/>
          </w:tblCellMar>
        </w:tblPrEx>
        <w:trPr>
          <w:trHeight w:val="44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0858C" w14:textId="77777777" w:rsidR="00CA411F" w:rsidRDefault="00746B4C">
            <w:pPr>
              <w:pStyle w:val="ListParagraph"/>
              <w:numPr>
                <w:ilvl w:val="1"/>
                <w:numId w:val="1"/>
              </w:numPr>
              <w:tabs>
                <w:tab w:val="left" w:pos="540"/>
              </w:tabs>
              <w:spacing w:line="276" w:lineRule="auto"/>
              <w:ind w:left="510" w:hanging="510"/>
              <w:jc w:val="left"/>
              <w:rPr>
                <w:b/>
                <w:szCs w:val="22"/>
                <w:lang w:eastAsia="en-US"/>
              </w:rPr>
            </w:pPr>
            <w:r>
              <w:rPr>
                <w:b/>
                <w:szCs w:val="22"/>
                <w:lang w:eastAsia="en-US"/>
              </w:rPr>
              <w:t>Contribuția la domeniile de intervenție prevăzute la art.5,Reg.(UE) nr.1305/2013</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02C12" w14:textId="77777777" w:rsidR="00CA411F" w:rsidRDefault="00746B4C">
            <w:pPr>
              <w:spacing w:line="276" w:lineRule="auto"/>
              <w:rPr>
                <w:color w:val="000000"/>
                <w:szCs w:val="22"/>
              </w:rPr>
            </w:pPr>
            <w:r>
              <w:rPr>
                <w:color w:val="000000"/>
                <w:szCs w:val="22"/>
              </w:rPr>
              <w:t xml:space="preserve">6B) Încurajarea dezvoltării locale în </w:t>
            </w:r>
            <w:r>
              <w:rPr>
                <w:color w:val="000000"/>
                <w:szCs w:val="22"/>
              </w:rPr>
              <w:t>zonele rurale;</w:t>
            </w:r>
          </w:p>
        </w:tc>
      </w:tr>
      <w:tr w:rsidR="00CA411F" w14:paraId="509C86C4" w14:textId="77777777">
        <w:tblPrEx>
          <w:tblCellMar>
            <w:top w:w="0" w:type="dxa"/>
            <w:bottom w:w="0" w:type="dxa"/>
          </w:tblCellMar>
        </w:tblPrEx>
        <w:trPr>
          <w:trHeight w:val="53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57620" w14:textId="77777777" w:rsidR="00CA411F" w:rsidRDefault="00746B4C">
            <w:pPr>
              <w:pStyle w:val="ListParagraph"/>
              <w:numPr>
                <w:ilvl w:val="1"/>
                <w:numId w:val="1"/>
              </w:numPr>
              <w:tabs>
                <w:tab w:val="left" w:pos="540"/>
              </w:tabs>
              <w:spacing w:line="276" w:lineRule="auto"/>
              <w:ind w:left="510" w:hanging="510"/>
              <w:jc w:val="left"/>
              <w:rPr>
                <w:b/>
                <w:color w:val="000000"/>
                <w:szCs w:val="22"/>
                <w:lang w:eastAsia="en-US"/>
              </w:rPr>
            </w:pPr>
            <w:r>
              <w:rPr>
                <w:b/>
                <w:color w:val="000000"/>
                <w:szCs w:val="22"/>
                <w:lang w:eastAsia="en-US"/>
              </w:rPr>
              <w:t>Contribuția la obiectivele transversale ale Reg.(UE) 1305/2013</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17156" w14:textId="77777777" w:rsidR="00CA411F" w:rsidRDefault="00746B4C">
            <w:pPr>
              <w:spacing w:line="276" w:lineRule="auto"/>
              <w:ind w:left="57"/>
            </w:pPr>
            <w:r>
              <w:rPr>
                <w:color w:val="000000"/>
                <w:szCs w:val="22"/>
              </w:rPr>
              <w:t xml:space="preserve">Măsura contribuie la obiectivul transversal de </w:t>
            </w:r>
            <w:r>
              <w:rPr>
                <w:b/>
                <w:color w:val="000000"/>
                <w:szCs w:val="22"/>
              </w:rPr>
              <w:t>mediu</w:t>
            </w:r>
            <w:r>
              <w:rPr>
                <w:color w:val="000000"/>
                <w:szCs w:val="22"/>
              </w:rPr>
              <w:t>, prin încurajarea folosirii surselor de energie regenerabilă.</w:t>
            </w:r>
          </w:p>
          <w:p w14:paraId="13F59D34" w14:textId="77777777" w:rsidR="00CA411F" w:rsidRDefault="00746B4C">
            <w:pPr>
              <w:spacing w:line="276" w:lineRule="auto"/>
              <w:ind w:left="57"/>
            </w:pPr>
            <w:r>
              <w:rPr>
                <w:b/>
                <w:color w:val="000000"/>
                <w:szCs w:val="22"/>
              </w:rPr>
              <w:t>Inovare</w:t>
            </w:r>
            <w:r>
              <w:rPr>
                <w:color w:val="000000"/>
                <w:szCs w:val="22"/>
              </w:rPr>
              <w:t>: deschidere spre noi oportunități şi posibilități de a</w:t>
            </w:r>
            <w:r>
              <w:rPr>
                <w:color w:val="000000"/>
                <w:szCs w:val="22"/>
              </w:rPr>
              <w:t>ccesare a fondurilor din alte programe decât PNDR, sporind astfel posibilitățile de dezvoltare ale satelor din teritoriu.</w:t>
            </w:r>
          </w:p>
        </w:tc>
      </w:tr>
      <w:tr w:rsidR="00CA411F" w14:paraId="0E6037C8" w14:textId="77777777">
        <w:tblPrEx>
          <w:tblCellMar>
            <w:top w:w="0" w:type="dxa"/>
            <w:bottom w:w="0" w:type="dxa"/>
          </w:tblCellMar>
        </w:tblPrEx>
        <w:trPr>
          <w:trHeight w:val="44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AF3DB" w14:textId="77777777" w:rsidR="00CA411F" w:rsidRDefault="00746B4C">
            <w:pPr>
              <w:pStyle w:val="ListParagraph"/>
              <w:numPr>
                <w:ilvl w:val="1"/>
                <w:numId w:val="1"/>
              </w:numPr>
              <w:tabs>
                <w:tab w:val="left" w:pos="540"/>
              </w:tabs>
              <w:spacing w:line="276" w:lineRule="auto"/>
              <w:ind w:left="510" w:hanging="510"/>
              <w:jc w:val="left"/>
            </w:pPr>
            <w:r>
              <w:rPr>
                <w:b/>
                <w:color w:val="000000"/>
                <w:szCs w:val="22"/>
                <w:lang w:eastAsia="en-US"/>
              </w:rPr>
              <w:t>Complementaritate cu alte măsuri din SDL</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99EC8E" w14:textId="77777777" w:rsidR="00CA411F" w:rsidRDefault="00746B4C">
            <w:pPr>
              <w:spacing w:line="276" w:lineRule="auto"/>
              <w:ind w:left="57"/>
              <w:rPr>
                <w:szCs w:val="22"/>
              </w:rPr>
            </w:pPr>
            <w:r>
              <w:rPr>
                <w:szCs w:val="22"/>
              </w:rPr>
              <w:t xml:space="preserve">Măsura este complementară altor măsuri prin faptul că beneficiarii </w:t>
            </w:r>
            <w:r>
              <w:rPr>
                <w:szCs w:val="22"/>
              </w:rPr>
              <w:t>direcți/indirecți vizați prin aceasta sunt incluși în categoriile de beneficiari direcți/indirecți (grupurile țintă) ai următoarelor măsuri din SDL:</w:t>
            </w:r>
          </w:p>
          <w:p w14:paraId="1314CED1" w14:textId="77777777" w:rsidR="00CA411F" w:rsidRDefault="00746B4C">
            <w:pPr>
              <w:pStyle w:val="ListParagraph"/>
              <w:numPr>
                <w:ilvl w:val="0"/>
                <w:numId w:val="3"/>
              </w:numPr>
              <w:spacing w:line="276" w:lineRule="auto"/>
              <w:jc w:val="left"/>
              <w:rPr>
                <w:szCs w:val="22"/>
              </w:rPr>
            </w:pPr>
            <w:r>
              <w:rPr>
                <w:szCs w:val="22"/>
              </w:rPr>
              <w:t>M1/6B - Dezvoltarea durabilă a satelor</w:t>
            </w:r>
          </w:p>
          <w:p w14:paraId="204EE97E" w14:textId="77777777" w:rsidR="00CA411F" w:rsidRDefault="00746B4C">
            <w:pPr>
              <w:pStyle w:val="ListParagraph"/>
              <w:numPr>
                <w:ilvl w:val="0"/>
                <w:numId w:val="3"/>
              </w:numPr>
              <w:spacing w:line="276" w:lineRule="auto"/>
              <w:jc w:val="left"/>
              <w:rPr>
                <w:szCs w:val="22"/>
              </w:rPr>
            </w:pPr>
            <w:r>
              <w:rPr>
                <w:szCs w:val="22"/>
              </w:rPr>
              <w:t>M2/6B - Valorificarea patrimoniului local si consolidarea identități</w:t>
            </w:r>
            <w:r>
              <w:rPr>
                <w:szCs w:val="22"/>
              </w:rPr>
              <w:t>i locale</w:t>
            </w:r>
          </w:p>
        </w:tc>
      </w:tr>
      <w:tr w:rsidR="00CA411F" w14:paraId="6CC96A31" w14:textId="77777777">
        <w:tblPrEx>
          <w:tblCellMar>
            <w:top w:w="0" w:type="dxa"/>
            <w:bottom w:w="0" w:type="dxa"/>
          </w:tblCellMar>
        </w:tblPrEx>
        <w:trPr>
          <w:trHeight w:val="971"/>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89F31" w14:textId="77777777" w:rsidR="00CA411F" w:rsidRDefault="00746B4C">
            <w:pPr>
              <w:pStyle w:val="ListParagraph"/>
              <w:numPr>
                <w:ilvl w:val="1"/>
                <w:numId w:val="1"/>
              </w:numPr>
              <w:tabs>
                <w:tab w:val="left" w:pos="540"/>
              </w:tabs>
              <w:spacing w:line="276" w:lineRule="auto"/>
              <w:ind w:left="624" w:hanging="624"/>
              <w:jc w:val="left"/>
            </w:pPr>
            <w:r>
              <w:rPr>
                <w:b/>
                <w:color w:val="000000"/>
                <w:szCs w:val="22"/>
                <w:lang w:eastAsia="en-US"/>
              </w:rPr>
              <w:lastRenderedPageBreak/>
              <w:t>Sinergia cu alte măsuri din SDL</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FE2BC" w14:textId="77777777" w:rsidR="00CA411F" w:rsidRDefault="00746B4C">
            <w:pPr>
              <w:spacing w:line="276" w:lineRule="auto"/>
              <w:ind w:left="57"/>
              <w:rPr>
                <w:szCs w:val="22"/>
              </w:rPr>
            </w:pPr>
            <w:r>
              <w:rPr>
                <w:szCs w:val="22"/>
              </w:rPr>
              <w:t>Măsura creează sinergie cu următoarele măsuri din SDL, prin contribuția fiecăreia la realizarea priorității 6:</w:t>
            </w:r>
          </w:p>
          <w:p w14:paraId="617A0828" w14:textId="77777777" w:rsidR="00CA411F" w:rsidRDefault="00746B4C">
            <w:pPr>
              <w:pStyle w:val="ListParagraph"/>
              <w:numPr>
                <w:ilvl w:val="0"/>
                <w:numId w:val="3"/>
              </w:numPr>
              <w:spacing w:line="276" w:lineRule="auto"/>
              <w:jc w:val="left"/>
              <w:rPr>
                <w:szCs w:val="22"/>
              </w:rPr>
            </w:pPr>
            <w:r>
              <w:rPr>
                <w:szCs w:val="22"/>
              </w:rPr>
              <w:t>M1/6B - Dezvoltarea durabilă a satelor</w:t>
            </w:r>
          </w:p>
          <w:p w14:paraId="2197D9C6" w14:textId="77777777" w:rsidR="00CA411F" w:rsidRDefault="00746B4C">
            <w:pPr>
              <w:pStyle w:val="ListParagraph"/>
              <w:numPr>
                <w:ilvl w:val="0"/>
                <w:numId w:val="3"/>
              </w:numPr>
              <w:spacing w:line="276" w:lineRule="auto"/>
              <w:jc w:val="left"/>
              <w:rPr>
                <w:szCs w:val="22"/>
              </w:rPr>
            </w:pPr>
            <w:r>
              <w:rPr>
                <w:szCs w:val="22"/>
              </w:rPr>
              <w:t xml:space="preserve">M2/6B - Valorificarea patrimoniului local si </w:t>
            </w:r>
            <w:r>
              <w:rPr>
                <w:szCs w:val="22"/>
              </w:rPr>
              <w:t>consolidarea identității locale</w:t>
            </w:r>
          </w:p>
          <w:p w14:paraId="598A4257" w14:textId="77777777" w:rsidR="00CA411F" w:rsidRDefault="00746B4C">
            <w:pPr>
              <w:pStyle w:val="ListParagraph"/>
              <w:numPr>
                <w:ilvl w:val="0"/>
                <w:numId w:val="3"/>
              </w:numPr>
              <w:spacing w:line="276" w:lineRule="auto"/>
              <w:jc w:val="left"/>
              <w:rPr>
                <w:szCs w:val="22"/>
              </w:rPr>
            </w:pPr>
            <w:r>
              <w:rPr>
                <w:szCs w:val="22"/>
              </w:rPr>
              <w:t>M4/6A - Înfiinţarea activităţilor neagricole</w:t>
            </w:r>
          </w:p>
          <w:p w14:paraId="281FF366" w14:textId="77777777" w:rsidR="00CA411F" w:rsidRDefault="00746B4C">
            <w:pPr>
              <w:pStyle w:val="ListParagraph"/>
              <w:numPr>
                <w:ilvl w:val="0"/>
                <w:numId w:val="3"/>
              </w:numPr>
              <w:spacing w:line="276" w:lineRule="auto"/>
              <w:jc w:val="left"/>
              <w:rPr>
                <w:szCs w:val="22"/>
              </w:rPr>
            </w:pPr>
            <w:r>
              <w:rPr>
                <w:szCs w:val="22"/>
              </w:rPr>
              <w:t>M5/6A - Dezvoltarea activităţilor neagricole</w:t>
            </w:r>
          </w:p>
        </w:tc>
      </w:tr>
      <w:tr w:rsidR="00CA411F" w14:paraId="271B6A64" w14:textId="77777777">
        <w:tblPrEx>
          <w:tblCellMar>
            <w:top w:w="0" w:type="dxa"/>
            <w:bottom w:w="0" w:type="dxa"/>
          </w:tblCellMar>
        </w:tblPrEx>
        <w:trPr>
          <w:trHeight w:val="350"/>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BC75A" w14:textId="77777777" w:rsidR="00CA411F" w:rsidRDefault="00746B4C">
            <w:pPr>
              <w:pStyle w:val="ListParagraph"/>
              <w:numPr>
                <w:ilvl w:val="0"/>
                <w:numId w:val="1"/>
              </w:numPr>
              <w:spacing w:line="276" w:lineRule="auto"/>
              <w:ind w:left="161" w:firstLine="0"/>
              <w:rPr>
                <w:b/>
                <w:color w:val="000000"/>
                <w:szCs w:val="22"/>
              </w:rPr>
            </w:pPr>
            <w:r>
              <w:rPr>
                <w:b/>
                <w:color w:val="000000"/>
                <w:szCs w:val="22"/>
              </w:rPr>
              <w:t>Valoarea adăugată a măsurii</w:t>
            </w:r>
          </w:p>
        </w:tc>
      </w:tr>
      <w:tr w:rsidR="00CA411F" w14:paraId="188F16EA" w14:textId="77777777">
        <w:tblPrEx>
          <w:tblCellMar>
            <w:top w:w="0" w:type="dxa"/>
            <w:bottom w:w="0" w:type="dxa"/>
          </w:tblCellMar>
        </w:tblPrEx>
        <w:trPr>
          <w:trHeight w:val="260"/>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D35A0" w14:textId="77777777" w:rsidR="00CA411F" w:rsidRDefault="00746B4C">
            <w:pPr>
              <w:pStyle w:val="ListParagraph"/>
              <w:tabs>
                <w:tab w:val="left" w:pos="270"/>
              </w:tabs>
              <w:spacing w:line="276" w:lineRule="auto"/>
              <w:ind w:left="0"/>
              <w:rPr>
                <w:szCs w:val="22"/>
              </w:rPr>
            </w:pPr>
            <w:r>
              <w:rPr>
                <w:szCs w:val="22"/>
              </w:rPr>
              <w:t xml:space="preserve">Facilitarea investiţiilor în infrastructura de tip “hard” urmând ca investițiile de tip “soft” să fie </w:t>
            </w:r>
            <w:r>
              <w:rPr>
                <w:szCs w:val="22"/>
              </w:rPr>
              <w:t>asigurate de solicitant din surse proprii sau prin accesarea Obiectivului specific 5.2 din cadrul POCU 2014-2020.</w:t>
            </w:r>
          </w:p>
        </w:tc>
      </w:tr>
      <w:tr w:rsidR="00CA411F" w14:paraId="6B161EF6" w14:textId="77777777">
        <w:tblPrEx>
          <w:tblCellMar>
            <w:top w:w="0" w:type="dxa"/>
            <w:bottom w:w="0" w:type="dxa"/>
          </w:tblCellMar>
        </w:tblPrEx>
        <w:trPr>
          <w:trHeight w:val="350"/>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ED60A" w14:textId="77777777" w:rsidR="00CA411F" w:rsidRDefault="00746B4C">
            <w:pPr>
              <w:pStyle w:val="ListParagraph"/>
              <w:numPr>
                <w:ilvl w:val="0"/>
                <w:numId w:val="1"/>
              </w:numPr>
              <w:spacing w:line="276" w:lineRule="auto"/>
              <w:ind w:left="161" w:firstLine="0"/>
              <w:rPr>
                <w:b/>
                <w:color w:val="000000"/>
                <w:szCs w:val="22"/>
              </w:rPr>
            </w:pPr>
            <w:r>
              <w:rPr>
                <w:b/>
                <w:color w:val="000000"/>
                <w:szCs w:val="22"/>
              </w:rPr>
              <w:t>Trimiteri la alte acte legislative</w:t>
            </w:r>
          </w:p>
        </w:tc>
      </w:tr>
      <w:tr w:rsidR="00CA411F" w14:paraId="35D54F26" w14:textId="77777777">
        <w:tblPrEx>
          <w:tblCellMar>
            <w:top w:w="0" w:type="dxa"/>
            <w:bottom w:w="0" w:type="dxa"/>
          </w:tblCellMar>
        </w:tblPrEx>
        <w:trPr>
          <w:trHeight w:val="511"/>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EC1B2" w14:textId="77777777" w:rsidR="00CA411F" w:rsidRDefault="00746B4C">
            <w:pPr>
              <w:pStyle w:val="ListParagraph"/>
              <w:numPr>
                <w:ilvl w:val="0"/>
                <w:numId w:val="4"/>
              </w:numPr>
              <w:tabs>
                <w:tab w:val="left" w:pos="270"/>
              </w:tabs>
              <w:spacing w:line="276" w:lineRule="auto"/>
              <w:ind w:left="227" w:hanging="227"/>
              <w:rPr>
                <w:szCs w:val="22"/>
              </w:rPr>
            </w:pPr>
            <w:r>
              <w:rPr>
                <w:szCs w:val="22"/>
              </w:rPr>
              <w:t>Legea asistenței sociale nr. 292 din 2011</w:t>
            </w:r>
          </w:p>
          <w:p w14:paraId="2D49AD18"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Legea 219 din 23 iulie 2015 privind economia socială. </w:t>
            </w:r>
          </w:p>
          <w:p w14:paraId="7E824CFA"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OG </w:t>
            </w:r>
            <w:r>
              <w:rPr>
                <w:szCs w:val="22"/>
              </w:rPr>
              <w:t xml:space="preserve">26/2000 cu privire la Asociații și Fundații. </w:t>
            </w:r>
          </w:p>
          <w:p w14:paraId="67D01C29" w14:textId="77777777" w:rsidR="00CA411F" w:rsidRDefault="00746B4C">
            <w:pPr>
              <w:pStyle w:val="ListParagraph"/>
              <w:numPr>
                <w:ilvl w:val="0"/>
                <w:numId w:val="4"/>
              </w:numPr>
              <w:tabs>
                <w:tab w:val="left" w:pos="270"/>
              </w:tabs>
              <w:spacing w:line="276" w:lineRule="auto"/>
              <w:ind w:left="227" w:hanging="227"/>
            </w:pPr>
            <w:r>
              <w:rPr>
                <w:szCs w:val="22"/>
              </w:rPr>
              <w:t>Regulamentul U.E. 1303/2013</w:t>
            </w:r>
          </w:p>
        </w:tc>
      </w:tr>
      <w:tr w:rsidR="00CA411F" w14:paraId="62B0ED58" w14:textId="77777777">
        <w:tblPrEx>
          <w:tblCellMar>
            <w:top w:w="0" w:type="dxa"/>
            <w:bottom w:w="0" w:type="dxa"/>
          </w:tblCellMar>
        </w:tblPrEx>
        <w:trPr>
          <w:trHeight w:val="350"/>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A411E" w14:textId="77777777" w:rsidR="00CA411F" w:rsidRDefault="00746B4C">
            <w:pPr>
              <w:pStyle w:val="ListParagraph"/>
              <w:numPr>
                <w:ilvl w:val="0"/>
                <w:numId w:val="1"/>
              </w:numPr>
              <w:spacing w:line="276" w:lineRule="auto"/>
              <w:ind w:left="161" w:firstLine="0"/>
              <w:rPr>
                <w:b/>
                <w:color w:val="000000"/>
                <w:szCs w:val="22"/>
              </w:rPr>
            </w:pPr>
            <w:r>
              <w:rPr>
                <w:b/>
                <w:color w:val="000000"/>
                <w:szCs w:val="22"/>
              </w:rPr>
              <w:t>Beneficiari direcți/indirecți (grup țintă)</w:t>
            </w:r>
          </w:p>
        </w:tc>
      </w:tr>
      <w:tr w:rsidR="00CA411F" w14:paraId="04E46647" w14:textId="77777777">
        <w:tblPrEx>
          <w:tblCellMar>
            <w:top w:w="0" w:type="dxa"/>
            <w:bottom w:w="0" w:type="dxa"/>
          </w:tblCellMar>
        </w:tblPrEx>
        <w:trPr>
          <w:trHeight w:val="962"/>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E33D1" w14:textId="77777777" w:rsidR="00CA411F" w:rsidRDefault="00746B4C">
            <w:pPr>
              <w:pStyle w:val="ListParagraph"/>
              <w:spacing w:line="276" w:lineRule="auto"/>
              <w:ind w:left="213"/>
              <w:rPr>
                <w:b/>
                <w:color w:val="000000"/>
                <w:szCs w:val="22"/>
              </w:rPr>
            </w:pPr>
            <w:r>
              <w:rPr>
                <w:b/>
                <w:color w:val="000000"/>
                <w:szCs w:val="22"/>
              </w:rPr>
              <w:t>4.1. Beneficiari direcți</w:t>
            </w: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6B384" w14:textId="77777777" w:rsidR="00CA411F" w:rsidRDefault="00746B4C">
            <w:pPr>
              <w:pStyle w:val="ListParagraph"/>
              <w:numPr>
                <w:ilvl w:val="0"/>
                <w:numId w:val="4"/>
              </w:numPr>
              <w:tabs>
                <w:tab w:val="left" w:pos="270"/>
              </w:tabs>
              <w:spacing w:line="276" w:lineRule="auto"/>
              <w:ind w:left="227" w:hanging="227"/>
              <w:rPr>
                <w:szCs w:val="22"/>
              </w:rPr>
            </w:pPr>
            <w:r>
              <w:rPr>
                <w:szCs w:val="22"/>
              </w:rPr>
              <w:t>Autorități publice locale și asociațiile acestora (ADI-uri)</w:t>
            </w:r>
          </w:p>
          <w:p w14:paraId="79019994" w14:textId="77777777" w:rsidR="00CA411F" w:rsidRDefault="00746B4C">
            <w:pPr>
              <w:pStyle w:val="ListParagraph"/>
              <w:numPr>
                <w:ilvl w:val="0"/>
                <w:numId w:val="4"/>
              </w:numPr>
              <w:tabs>
                <w:tab w:val="left" w:pos="270"/>
              </w:tabs>
              <w:spacing w:line="276" w:lineRule="auto"/>
              <w:ind w:left="227" w:hanging="227"/>
              <w:rPr>
                <w:szCs w:val="22"/>
              </w:rPr>
            </w:pPr>
            <w:r>
              <w:rPr>
                <w:szCs w:val="22"/>
              </w:rPr>
              <w:t>Societatea civilă</w:t>
            </w:r>
          </w:p>
          <w:p w14:paraId="4D6DBFAC" w14:textId="77777777" w:rsidR="00CA411F" w:rsidRDefault="00746B4C">
            <w:pPr>
              <w:pStyle w:val="ListParagraph"/>
              <w:numPr>
                <w:ilvl w:val="0"/>
                <w:numId w:val="4"/>
              </w:numPr>
              <w:tabs>
                <w:tab w:val="left" w:pos="270"/>
              </w:tabs>
              <w:spacing w:line="276" w:lineRule="auto"/>
              <w:ind w:left="227" w:hanging="227"/>
              <w:rPr>
                <w:szCs w:val="22"/>
              </w:rPr>
            </w:pPr>
            <w:r>
              <w:rPr>
                <w:szCs w:val="22"/>
              </w:rPr>
              <w:t>Instituții de cult</w:t>
            </w:r>
          </w:p>
          <w:p w14:paraId="065EFB89"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GAL, în </w:t>
            </w:r>
            <w:r>
              <w:rPr>
                <w:szCs w:val="22"/>
              </w:rPr>
              <w:t>cazul în care niciun alt solicitant nu-și manifestă interesul și se aplică măsuri de evitare a conflictului de interese.</w:t>
            </w:r>
          </w:p>
        </w:tc>
      </w:tr>
      <w:tr w:rsidR="00CA411F" w14:paraId="162A3A41" w14:textId="77777777">
        <w:tblPrEx>
          <w:tblCellMar>
            <w:top w:w="0" w:type="dxa"/>
            <w:bottom w:w="0" w:type="dxa"/>
          </w:tblCellMar>
        </w:tblPrEx>
        <w:trPr>
          <w:trHeight w:val="440"/>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46B6A" w14:textId="77777777" w:rsidR="00CA411F" w:rsidRDefault="00CA411F">
            <w:pPr>
              <w:pStyle w:val="ListParagraph"/>
              <w:spacing w:line="276" w:lineRule="auto"/>
              <w:ind w:left="123"/>
              <w:rPr>
                <w:b/>
                <w:color w:val="000000"/>
                <w:szCs w:val="22"/>
              </w:rPr>
            </w:pPr>
          </w:p>
          <w:p w14:paraId="7B098F21" w14:textId="77777777" w:rsidR="00CA411F" w:rsidRDefault="00746B4C">
            <w:pPr>
              <w:pStyle w:val="ListParagraph"/>
              <w:spacing w:line="276" w:lineRule="auto"/>
              <w:ind w:left="123"/>
              <w:rPr>
                <w:b/>
                <w:color w:val="000000"/>
                <w:szCs w:val="22"/>
              </w:rPr>
            </w:pPr>
            <w:r>
              <w:rPr>
                <w:b/>
                <w:color w:val="000000"/>
                <w:szCs w:val="22"/>
              </w:rPr>
              <w:t>4.2. Beneficiarii indirecți</w:t>
            </w:r>
          </w:p>
          <w:p w14:paraId="38C4EC16" w14:textId="77777777" w:rsidR="00CA411F" w:rsidRDefault="00CA411F">
            <w:pPr>
              <w:pStyle w:val="ListParagraph"/>
              <w:spacing w:line="276" w:lineRule="auto"/>
              <w:ind w:left="0" w:hanging="207"/>
              <w:rPr>
                <w:b/>
                <w:color w:val="000000"/>
                <w:szCs w:val="22"/>
              </w:rPr>
            </w:pPr>
          </w:p>
        </w:tc>
        <w:tc>
          <w:tcPr>
            <w:tcW w:w="5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1CEA6"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Populația locală; </w:t>
            </w:r>
          </w:p>
          <w:p w14:paraId="5B819B28" w14:textId="77777777" w:rsidR="00CA411F" w:rsidRDefault="00746B4C">
            <w:pPr>
              <w:pStyle w:val="ListParagraph"/>
              <w:numPr>
                <w:ilvl w:val="0"/>
                <w:numId w:val="4"/>
              </w:numPr>
              <w:tabs>
                <w:tab w:val="left" w:pos="270"/>
              </w:tabs>
              <w:spacing w:line="276" w:lineRule="auto"/>
              <w:ind w:left="227" w:hanging="227"/>
              <w:rPr>
                <w:szCs w:val="22"/>
              </w:rPr>
            </w:pPr>
            <w:r>
              <w:rPr>
                <w:szCs w:val="22"/>
              </w:rPr>
              <w:t>Grupuri vulnerabile/dezavantajate/de risc</w:t>
            </w:r>
          </w:p>
        </w:tc>
      </w:tr>
      <w:tr w:rsidR="00CA411F" w14:paraId="242FD5EA" w14:textId="77777777">
        <w:tblPrEx>
          <w:tblCellMar>
            <w:top w:w="0" w:type="dxa"/>
            <w:bottom w:w="0" w:type="dxa"/>
          </w:tblCellMar>
        </w:tblPrEx>
        <w:trPr>
          <w:trHeight w:val="320"/>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99897" w14:textId="77777777" w:rsidR="00CA411F" w:rsidRDefault="00746B4C">
            <w:pPr>
              <w:pStyle w:val="ListParagraph"/>
              <w:numPr>
                <w:ilvl w:val="0"/>
                <w:numId w:val="1"/>
              </w:numPr>
              <w:spacing w:line="276" w:lineRule="auto"/>
              <w:rPr>
                <w:b/>
                <w:color w:val="000000"/>
                <w:szCs w:val="22"/>
              </w:rPr>
            </w:pPr>
            <w:r>
              <w:rPr>
                <w:b/>
                <w:color w:val="000000"/>
                <w:szCs w:val="22"/>
              </w:rPr>
              <w:t xml:space="preserve">Tip de sprijin (conform art. 67 din </w:t>
            </w:r>
            <w:r>
              <w:rPr>
                <w:b/>
                <w:color w:val="000000"/>
                <w:szCs w:val="22"/>
              </w:rPr>
              <w:t>Reg. (UE) nr.1303/2013)</w:t>
            </w:r>
          </w:p>
        </w:tc>
      </w:tr>
      <w:tr w:rsidR="00CA411F" w14:paraId="6BCE7244" w14:textId="77777777">
        <w:tblPrEx>
          <w:tblCellMar>
            <w:top w:w="0" w:type="dxa"/>
            <w:bottom w:w="0" w:type="dxa"/>
          </w:tblCellMar>
        </w:tblPrEx>
        <w:trPr>
          <w:trHeight w:val="1403"/>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2E2BA0" w14:textId="77777777" w:rsidR="00CA411F" w:rsidRDefault="00746B4C">
            <w:pPr>
              <w:pStyle w:val="ListParagraph"/>
              <w:numPr>
                <w:ilvl w:val="0"/>
                <w:numId w:val="4"/>
              </w:numPr>
              <w:tabs>
                <w:tab w:val="left" w:pos="270"/>
              </w:tabs>
              <w:spacing w:line="276" w:lineRule="auto"/>
              <w:ind w:left="227" w:hanging="227"/>
              <w:rPr>
                <w:szCs w:val="22"/>
              </w:rPr>
            </w:pPr>
            <w:r>
              <w:rPr>
                <w:szCs w:val="22"/>
              </w:rPr>
              <w:t>Rambursarea costurilor eligibile suportate şi plătite efectiv de solicitant</w:t>
            </w:r>
          </w:p>
          <w:p w14:paraId="384C8D1D" w14:textId="77777777" w:rsidR="00CA411F" w:rsidRDefault="00746B4C">
            <w:pPr>
              <w:pStyle w:val="ListParagraph"/>
              <w:numPr>
                <w:ilvl w:val="0"/>
                <w:numId w:val="4"/>
              </w:numPr>
              <w:tabs>
                <w:tab w:val="left" w:pos="270"/>
              </w:tabs>
              <w:spacing w:line="276" w:lineRule="auto"/>
              <w:ind w:left="227" w:hanging="227"/>
            </w:pPr>
            <w:r>
              <w:rPr>
                <w:szCs w:val="22"/>
              </w:rPr>
              <w:t xml:space="preserve">Plăţi în avans, cu condiţia constituirii unei garanții echivalente corespunzătoare procentului de 100% din valoarea avansului, în conformitate cu </w:t>
            </w:r>
            <w:r>
              <w:rPr>
                <w:szCs w:val="22"/>
              </w:rPr>
              <w:t>art.45(4) şi art.63 ale Reg.(UE) nr. 1305/2013</w:t>
            </w:r>
          </w:p>
        </w:tc>
      </w:tr>
      <w:tr w:rsidR="00CA411F" w14:paraId="7E1AC956" w14:textId="77777777">
        <w:tblPrEx>
          <w:tblCellMar>
            <w:top w:w="0" w:type="dxa"/>
            <w:bottom w:w="0" w:type="dxa"/>
          </w:tblCellMar>
        </w:tblPrEx>
        <w:trPr>
          <w:trHeight w:val="316"/>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287A6" w14:textId="77777777" w:rsidR="00CA411F" w:rsidRDefault="00746B4C">
            <w:pPr>
              <w:pStyle w:val="ListParagraph"/>
              <w:numPr>
                <w:ilvl w:val="0"/>
                <w:numId w:val="1"/>
              </w:numPr>
              <w:tabs>
                <w:tab w:val="left" w:pos="720"/>
              </w:tabs>
              <w:spacing w:line="276" w:lineRule="auto"/>
            </w:pPr>
            <w:r>
              <w:rPr>
                <w:b/>
                <w:color w:val="000000"/>
                <w:szCs w:val="22"/>
              </w:rPr>
              <w:t>Tipuri de acțiuni eligibile și neeligibile</w:t>
            </w:r>
          </w:p>
        </w:tc>
      </w:tr>
      <w:tr w:rsidR="00CA411F" w14:paraId="0B67D1F5" w14:textId="77777777">
        <w:tblPrEx>
          <w:tblCellMar>
            <w:top w:w="0" w:type="dxa"/>
            <w:bottom w:w="0" w:type="dxa"/>
          </w:tblCellMar>
        </w:tblPrEx>
        <w:trPr>
          <w:trHeight w:val="242"/>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AE6DE" w14:textId="77777777" w:rsidR="00CA411F" w:rsidRDefault="00746B4C">
            <w:pPr>
              <w:spacing w:line="276" w:lineRule="auto"/>
            </w:pPr>
            <w:r>
              <w:rPr>
                <w:b/>
                <w:color w:val="000000"/>
                <w:szCs w:val="22"/>
              </w:rPr>
              <w:t xml:space="preserve">6.1 Tipuri de acțiuni eligibile </w:t>
            </w:r>
          </w:p>
        </w:tc>
      </w:tr>
      <w:tr w:rsidR="00CA411F" w14:paraId="585D1559" w14:textId="77777777">
        <w:tblPrEx>
          <w:tblCellMar>
            <w:top w:w="0" w:type="dxa"/>
            <w:bottom w:w="0" w:type="dxa"/>
          </w:tblCellMar>
        </w:tblPrEx>
        <w:trPr>
          <w:trHeight w:val="458"/>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EE486C" w14:textId="77777777" w:rsidR="00CA411F" w:rsidRDefault="00746B4C">
            <w:pPr>
              <w:pStyle w:val="ListParagraph"/>
              <w:numPr>
                <w:ilvl w:val="0"/>
                <w:numId w:val="5"/>
              </w:numPr>
              <w:spacing w:line="276" w:lineRule="auto"/>
            </w:pPr>
            <w:r>
              <w:rPr>
                <w:rFonts w:cs="Arial"/>
                <w:szCs w:val="22"/>
              </w:rPr>
              <w:t>Înființarea/modernizare și dotarea infrastructurii sociale din teritoriu</w:t>
            </w:r>
          </w:p>
        </w:tc>
      </w:tr>
      <w:tr w:rsidR="00CA411F" w14:paraId="1EA31040" w14:textId="77777777">
        <w:tblPrEx>
          <w:tblCellMar>
            <w:top w:w="0" w:type="dxa"/>
            <w:bottom w:w="0" w:type="dxa"/>
          </w:tblCellMar>
        </w:tblPrEx>
        <w:trPr>
          <w:trHeight w:val="349"/>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8E76E" w14:textId="77777777" w:rsidR="00CA411F" w:rsidRDefault="00746B4C">
            <w:pPr>
              <w:spacing w:line="276" w:lineRule="auto"/>
              <w:rPr>
                <w:rFonts w:cs="Arial"/>
                <w:b/>
                <w:color w:val="000000"/>
                <w:szCs w:val="22"/>
              </w:rPr>
            </w:pPr>
            <w:r>
              <w:rPr>
                <w:rFonts w:cs="Arial"/>
                <w:b/>
                <w:color w:val="000000"/>
                <w:szCs w:val="22"/>
              </w:rPr>
              <w:t>6.2 Tipuri de acțiuni neeligibile</w:t>
            </w:r>
          </w:p>
        </w:tc>
      </w:tr>
      <w:tr w:rsidR="00CA411F" w14:paraId="25C9A44A" w14:textId="77777777">
        <w:tblPrEx>
          <w:tblCellMar>
            <w:top w:w="0" w:type="dxa"/>
            <w:bottom w:w="0" w:type="dxa"/>
          </w:tblCellMar>
        </w:tblPrEx>
        <w:trPr>
          <w:trHeight w:val="377"/>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31DF2"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Investiții în </w:t>
            </w:r>
            <w:r>
              <w:rPr>
                <w:szCs w:val="22"/>
              </w:rPr>
              <w:t>alte tipuri de infrastructuri decât cele sociale</w:t>
            </w:r>
          </w:p>
          <w:p w14:paraId="2290BDAF" w14:textId="77777777" w:rsidR="00CA411F" w:rsidRDefault="00746B4C">
            <w:pPr>
              <w:pStyle w:val="ListParagraph"/>
              <w:numPr>
                <w:ilvl w:val="0"/>
                <w:numId w:val="4"/>
              </w:numPr>
              <w:tabs>
                <w:tab w:val="left" w:pos="270"/>
              </w:tabs>
              <w:spacing w:line="276" w:lineRule="auto"/>
              <w:ind w:left="227" w:hanging="227"/>
            </w:pPr>
            <w:r>
              <w:rPr>
                <w:szCs w:val="22"/>
              </w:rPr>
              <w:t>Investiții în infrastructură socială de tip rezidențial.</w:t>
            </w:r>
          </w:p>
        </w:tc>
      </w:tr>
      <w:tr w:rsidR="00CA411F" w14:paraId="61D88D4E" w14:textId="77777777">
        <w:tblPrEx>
          <w:tblCellMar>
            <w:top w:w="0" w:type="dxa"/>
            <w:bottom w:w="0" w:type="dxa"/>
          </w:tblCellMar>
        </w:tblPrEx>
        <w:trPr>
          <w:trHeight w:val="227"/>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069D3" w14:textId="77777777" w:rsidR="00CA411F" w:rsidRDefault="00746B4C">
            <w:pPr>
              <w:pStyle w:val="ListParagraph"/>
              <w:numPr>
                <w:ilvl w:val="0"/>
                <w:numId w:val="6"/>
              </w:numPr>
              <w:spacing w:line="276" w:lineRule="auto"/>
              <w:ind w:left="270" w:hanging="270"/>
              <w:rPr>
                <w:b/>
                <w:color w:val="000000"/>
                <w:szCs w:val="22"/>
              </w:rPr>
            </w:pPr>
            <w:r>
              <w:rPr>
                <w:b/>
                <w:color w:val="000000"/>
                <w:szCs w:val="22"/>
              </w:rPr>
              <w:t>Condiții de eligibilitate</w:t>
            </w:r>
          </w:p>
        </w:tc>
      </w:tr>
      <w:tr w:rsidR="00CA411F" w14:paraId="00C6E26D" w14:textId="77777777">
        <w:tblPrEx>
          <w:tblCellMar>
            <w:top w:w="0" w:type="dxa"/>
            <w:bottom w:w="0" w:type="dxa"/>
          </w:tblCellMar>
        </w:tblPrEx>
        <w:trPr>
          <w:trHeight w:val="227"/>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1D861" w14:textId="77777777" w:rsidR="00CA411F" w:rsidRDefault="00746B4C">
            <w:pPr>
              <w:spacing w:line="276" w:lineRule="auto"/>
              <w:rPr>
                <w:b/>
                <w:color w:val="000000"/>
                <w:szCs w:val="22"/>
              </w:rPr>
            </w:pPr>
            <w:r>
              <w:rPr>
                <w:b/>
                <w:color w:val="000000"/>
                <w:szCs w:val="22"/>
              </w:rPr>
              <w:t>7.1 Condiții de eligibilitate</w:t>
            </w:r>
          </w:p>
        </w:tc>
      </w:tr>
      <w:tr w:rsidR="00CA411F" w14:paraId="692E0147" w14:textId="77777777">
        <w:tblPrEx>
          <w:tblCellMar>
            <w:top w:w="0" w:type="dxa"/>
            <w:bottom w:w="0" w:type="dxa"/>
          </w:tblCellMar>
        </w:tblPrEx>
        <w:trPr>
          <w:trHeight w:val="227"/>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91343"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Solicitantul să se încadreze în categoria beneficiarilor eligibili. </w:t>
            </w:r>
          </w:p>
          <w:p w14:paraId="5094DCDD"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Solicitantul nu trebuie sa fie în insolvență sau în incapacitate de plată. </w:t>
            </w:r>
          </w:p>
          <w:p w14:paraId="79E9E253" w14:textId="77777777" w:rsidR="00CA411F" w:rsidRDefault="00746B4C">
            <w:pPr>
              <w:pStyle w:val="ListParagraph"/>
              <w:numPr>
                <w:ilvl w:val="0"/>
                <w:numId w:val="4"/>
              </w:numPr>
              <w:tabs>
                <w:tab w:val="left" w:pos="270"/>
              </w:tabs>
              <w:spacing w:line="276" w:lineRule="auto"/>
              <w:ind w:left="227" w:hanging="227"/>
              <w:rPr>
                <w:szCs w:val="22"/>
              </w:rPr>
            </w:pPr>
            <w:r>
              <w:rPr>
                <w:szCs w:val="22"/>
              </w:rPr>
              <w:lastRenderedPageBreak/>
              <w:t xml:space="preserve">Solicitantul se angajează să asigure întreținerea/mentenanța investiției, respectiv sustenabilitatea investiției pe o perioadă de minim 5 ani de la ultima plată. </w:t>
            </w:r>
          </w:p>
          <w:p w14:paraId="1C9C7467"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Investiția să se </w:t>
            </w:r>
            <w:r>
              <w:rPr>
                <w:szCs w:val="22"/>
              </w:rPr>
              <w:t>încadreze în tipul de sprijin prevăzut în măsură.</w:t>
            </w:r>
          </w:p>
          <w:p w14:paraId="392A5CC6" w14:textId="77777777" w:rsidR="00CA411F" w:rsidRDefault="00746B4C">
            <w:pPr>
              <w:pStyle w:val="ListParagraph"/>
              <w:numPr>
                <w:ilvl w:val="0"/>
                <w:numId w:val="4"/>
              </w:numPr>
              <w:tabs>
                <w:tab w:val="left" w:pos="270"/>
              </w:tabs>
              <w:spacing w:line="276" w:lineRule="auto"/>
              <w:ind w:left="227" w:hanging="227"/>
              <w:rPr>
                <w:szCs w:val="22"/>
              </w:rPr>
            </w:pPr>
            <w:r>
              <w:rPr>
                <w:szCs w:val="22"/>
              </w:rPr>
              <w:t>Investiția să se realizeze în teritoriul GAL</w:t>
            </w:r>
          </w:p>
          <w:p w14:paraId="2935EB1A" w14:textId="77777777" w:rsidR="00CA411F" w:rsidRDefault="00746B4C">
            <w:pPr>
              <w:pStyle w:val="ListParagraph"/>
              <w:numPr>
                <w:ilvl w:val="0"/>
                <w:numId w:val="4"/>
              </w:numPr>
              <w:tabs>
                <w:tab w:val="left" w:pos="270"/>
              </w:tabs>
              <w:spacing w:line="276" w:lineRule="auto"/>
              <w:ind w:left="227" w:hanging="227"/>
              <w:rPr>
                <w:b/>
                <w:szCs w:val="22"/>
              </w:rPr>
            </w:pPr>
            <w:r>
              <w:rPr>
                <w:b/>
                <w:szCs w:val="22"/>
              </w:rPr>
              <w:t>Proiectele de infrastructură socială trebuie să asigure funcționarea prin operaționalizarea infrastructurii de către o entitate acreditată ca furnizor de servici</w:t>
            </w:r>
            <w:r>
              <w:rPr>
                <w:b/>
                <w:szCs w:val="22"/>
              </w:rPr>
              <w:t>i sociale;</w:t>
            </w:r>
          </w:p>
          <w:p w14:paraId="14890FC0" w14:textId="77777777" w:rsidR="00CA411F" w:rsidRDefault="00746B4C">
            <w:pPr>
              <w:pStyle w:val="ListParagraph"/>
              <w:numPr>
                <w:ilvl w:val="0"/>
                <w:numId w:val="4"/>
              </w:numPr>
              <w:tabs>
                <w:tab w:val="left" w:pos="270"/>
              </w:tabs>
              <w:spacing w:line="276" w:lineRule="auto"/>
              <w:ind w:left="227" w:hanging="227"/>
            </w:pPr>
            <w:r>
              <w:rPr>
                <w:b/>
                <w:szCs w:val="22"/>
              </w:rPr>
              <w:t>Proiectele trebuie să aibă în vedere evitarea segregării.</w:t>
            </w:r>
          </w:p>
        </w:tc>
      </w:tr>
      <w:tr w:rsidR="00CA411F" w14:paraId="3EDA13B1" w14:textId="77777777">
        <w:tblPrEx>
          <w:tblCellMar>
            <w:top w:w="0" w:type="dxa"/>
            <w:bottom w:w="0" w:type="dxa"/>
          </w:tblCellMar>
        </w:tblPrEx>
        <w:trPr>
          <w:trHeight w:val="260"/>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3FA67" w14:textId="77777777" w:rsidR="00CA411F" w:rsidRDefault="00746B4C">
            <w:pPr>
              <w:spacing w:line="276" w:lineRule="auto"/>
              <w:rPr>
                <w:b/>
                <w:szCs w:val="22"/>
              </w:rPr>
            </w:pPr>
            <w:r>
              <w:rPr>
                <w:b/>
                <w:szCs w:val="22"/>
              </w:rPr>
              <w:lastRenderedPageBreak/>
              <w:t>8. Criterii de selecție</w:t>
            </w:r>
          </w:p>
        </w:tc>
      </w:tr>
      <w:tr w:rsidR="00CA411F" w14:paraId="5780EF5A" w14:textId="77777777">
        <w:tblPrEx>
          <w:tblCellMar>
            <w:top w:w="0" w:type="dxa"/>
            <w:bottom w:w="0" w:type="dxa"/>
          </w:tblCellMar>
        </w:tblPrEx>
        <w:trPr>
          <w:trHeight w:val="413"/>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231B6" w14:textId="77777777" w:rsidR="00CA411F" w:rsidRDefault="00746B4C">
            <w:pPr>
              <w:pStyle w:val="ListParagraph"/>
              <w:numPr>
                <w:ilvl w:val="0"/>
                <w:numId w:val="4"/>
              </w:numPr>
              <w:tabs>
                <w:tab w:val="left" w:pos="270"/>
              </w:tabs>
              <w:spacing w:line="276" w:lineRule="auto"/>
              <w:ind w:left="227" w:hanging="227"/>
              <w:rPr>
                <w:szCs w:val="22"/>
              </w:rPr>
            </w:pPr>
            <w:r>
              <w:rPr>
                <w:szCs w:val="22"/>
              </w:rPr>
              <w:t>Întreținerea și asigurarea funcționării infrastructurii în parteneriat;</w:t>
            </w:r>
          </w:p>
          <w:p w14:paraId="53A9E6BC" w14:textId="77777777" w:rsidR="00CA411F" w:rsidRDefault="00746B4C">
            <w:pPr>
              <w:pStyle w:val="ListParagraph"/>
              <w:numPr>
                <w:ilvl w:val="0"/>
                <w:numId w:val="4"/>
              </w:numPr>
              <w:tabs>
                <w:tab w:val="left" w:pos="270"/>
              </w:tabs>
              <w:spacing w:line="276" w:lineRule="auto"/>
              <w:ind w:left="227" w:hanging="227"/>
              <w:rPr>
                <w:szCs w:val="22"/>
              </w:rPr>
            </w:pPr>
            <w:r>
              <w:rPr>
                <w:szCs w:val="22"/>
              </w:rPr>
              <w:t>Principiul adresării mai multor comune;</w:t>
            </w:r>
          </w:p>
          <w:p w14:paraId="3805AF69" w14:textId="77777777" w:rsidR="00CA411F" w:rsidRDefault="00746B4C">
            <w:pPr>
              <w:pStyle w:val="ListParagraph"/>
              <w:numPr>
                <w:ilvl w:val="0"/>
                <w:numId w:val="4"/>
              </w:numPr>
              <w:tabs>
                <w:tab w:val="left" w:pos="270"/>
              </w:tabs>
              <w:spacing w:line="276" w:lineRule="auto"/>
              <w:ind w:left="227" w:hanging="227"/>
              <w:rPr>
                <w:szCs w:val="22"/>
              </w:rPr>
            </w:pPr>
            <w:r>
              <w:rPr>
                <w:szCs w:val="22"/>
              </w:rPr>
              <w:t xml:space="preserve">Dotarea clădirilor cu sisteme care </w:t>
            </w:r>
            <w:r>
              <w:rPr>
                <w:szCs w:val="22"/>
              </w:rPr>
              <w:t>utilizează energia regenerabilă;</w:t>
            </w:r>
          </w:p>
          <w:p w14:paraId="4D272550" w14:textId="77777777" w:rsidR="00CA411F" w:rsidRDefault="00746B4C">
            <w:pPr>
              <w:pStyle w:val="ListParagraph"/>
              <w:numPr>
                <w:ilvl w:val="0"/>
                <w:numId w:val="4"/>
              </w:numPr>
              <w:tabs>
                <w:tab w:val="left" w:pos="270"/>
              </w:tabs>
              <w:spacing w:line="276" w:lineRule="auto"/>
              <w:ind w:left="227" w:hanging="227"/>
              <w:rPr>
                <w:szCs w:val="22"/>
              </w:rPr>
            </w:pPr>
            <w:r>
              <w:rPr>
                <w:szCs w:val="22"/>
              </w:rPr>
              <w:t>Învestiții în infrastructură socială care deservește dezvoltarea de servicii integrate;</w:t>
            </w:r>
          </w:p>
          <w:p w14:paraId="71CF438E" w14:textId="77777777" w:rsidR="00CA411F" w:rsidRDefault="00746B4C">
            <w:pPr>
              <w:pStyle w:val="ListParagraph"/>
              <w:numPr>
                <w:ilvl w:val="0"/>
                <w:numId w:val="4"/>
              </w:numPr>
              <w:tabs>
                <w:tab w:val="left" w:pos="270"/>
              </w:tabs>
              <w:spacing w:line="276" w:lineRule="auto"/>
              <w:ind w:left="227" w:hanging="227"/>
              <w:rPr>
                <w:szCs w:val="22"/>
              </w:rPr>
            </w:pPr>
            <w:r>
              <w:rPr>
                <w:szCs w:val="22"/>
              </w:rPr>
              <w:t>Investiții în proiecte inovative;</w:t>
            </w:r>
          </w:p>
          <w:p w14:paraId="375F8217" w14:textId="77777777" w:rsidR="00CA411F" w:rsidRDefault="00746B4C">
            <w:pPr>
              <w:pStyle w:val="ListParagraph"/>
              <w:numPr>
                <w:ilvl w:val="0"/>
                <w:numId w:val="4"/>
              </w:numPr>
              <w:tabs>
                <w:tab w:val="left" w:pos="270"/>
              </w:tabs>
              <w:spacing w:line="276" w:lineRule="auto"/>
              <w:ind w:left="227" w:hanging="227"/>
            </w:pPr>
            <w:r>
              <w:rPr>
                <w:szCs w:val="22"/>
              </w:rPr>
              <w:t>Investiția contribuie la desegrarea grupurilor vulnerabile</w:t>
            </w:r>
          </w:p>
          <w:p w14:paraId="660E8E96" w14:textId="77777777" w:rsidR="00CA411F" w:rsidRDefault="00746B4C">
            <w:pPr>
              <w:pStyle w:val="ListParagraph"/>
              <w:numPr>
                <w:ilvl w:val="0"/>
                <w:numId w:val="4"/>
              </w:numPr>
              <w:tabs>
                <w:tab w:val="left" w:pos="630"/>
              </w:tabs>
              <w:spacing w:line="276" w:lineRule="auto"/>
              <w:rPr>
                <w:rFonts w:cs="Arial"/>
                <w:szCs w:val="22"/>
              </w:rPr>
            </w:pPr>
            <w:r>
              <w:rPr>
                <w:rFonts w:cs="Arial"/>
                <w:szCs w:val="22"/>
              </w:rPr>
              <w:t xml:space="preserve">Numărul de persoane care vor beneficia de </w:t>
            </w:r>
            <w:r>
              <w:rPr>
                <w:rFonts w:cs="Arial"/>
                <w:szCs w:val="22"/>
              </w:rPr>
              <w:t>activitățile/ rezultatele proiectului</w:t>
            </w:r>
          </w:p>
        </w:tc>
      </w:tr>
      <w:tr w:rsidR="00CA411F" w14:paraId="11E6014A" w14:textId="77777777">
        <w:tblPrEx>
          <w:tblCellMar>
            <w:top w:w="0" w:type="dxa"/>
            <w:bottom w:w="0" w:type="dxa"/>
          </w:tblCellMar>
        </w:tblPrEx>
        <w:trPr>
          <w:trHeight w:val="339"/>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B27E4" w14:textId="77777777" w:rsidR="00CA411F" w:rsidRDefault="00746B4C">
            <w:pPr>
              <w:pStyle w:val="ListParagraph"/>
              <w:numPr>
                <w:ilvl w:val="0"/>
                <w:numId w:val="7"/>
              </w:numPr>
              <w:spacing w:line="276" w:lineRule="auto"/>
              <w:ind w:left="270" w:hanging="270"/>
              <w:rPr>
                <w:b/>
                <w:szCs w:val="22"/>
              </w:rPr>
            </w:pPr>
            <w:r>
              <w:rPr>
                <w:b/>
                <w:szCs w:val="22"/>
              </w:rPr>
              <w:t>Sume aplicabile și rata sprijinului:</w:t>
            </w:r>
          </w:p>
        </w:tc>
      </w:tr>
      <w:tr w:rsidR="00CA411F" w14:paraId="5EB30056" w14:textId="77777777">
        <w:tblPrEx>
          <w:tblCellMar>
            <w:top w:w="0" w:type="dxa"/>
            <w:bottom w:w="0" w:type="dxa"/>
          </w:tblCellMar>
        </w:tblPrEx>
        <w:trPr>
          <w:trHeight w:val="800"/>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C34D9" w14:textId="77777777" w:rsidR="00CA411F" w:rsidRDefault="00746B4C">
            <w:pPr>
              <w:spacing w:line="276" w:lineRule="auto"/>
            </w:pPr>
            <w:r>
              <w:rPr>
                <w:b/>
                <w:szCs w:val="22"/>
              </w:rPr>
              <w:t>Intensitatea sprijinului</w:t>
            </w:r>
            <w:r>
              <w:rPr>
                <w:szCs w:val="22"/>
              </w:rPr>
              <w:t xml:space="preserve"> va fi de:</w:t>
            </w:r>
          </w:p>
          <w:p w14:paraId="18142ED1" w14:textId="77777777" w:rsidR="00CA411F" w:rsidRDefault="00746B4C">
            <w:pPr>
              <w:numPr>
                <w:ilvl w:val="0"/>
                <w:numId w:val="8"/>
              </w:numPr>
              <w:spacing w:line="276" w:lineRule="auto"/>
              <w:ind w:left="644"/>
              <w:rPr>
                <w:szCs w:val="22"/>
              </w:rPr>
            </w:pPr>
            <w:r>
              <w:rPr>
                <w:szCs w:val="22"/>
              </w:rPr>
              <w:t xml:space="preserve">100% pentru investiții negeneratoare de venit. </w:t>
            </w:r>
          </w:p>
          <w:p w14:paraId="5954D46D" w14:textId="77777777" w:rsidR="00CA411F" w:rsidRDefault="00746B4C">
            <w:pPr>
              <w:numPr>
                <w:ilvl w:val="0"/>
                <w:numId w:val="8"/>
              </w:numPr>
              <w:spacing w:line="276" w:lineRule="auto"/>
              <w:ind w:left="644"/>
              <w:rPr>
                <w:szCs w:val="22"/>
              </w:rPr>
            </w:pPr>
            <w:r>
              <w:rPr>
                <w:szCs w:val="22"/>
              </w:rPr>
              <w:t xml:space="preserve">100% pentru investiții generatoare de venit cu utilitate publică. </w:t>
            </w:r>
          </w:p>
          <w:p w14:paraId="266644E6" w14:textId="77777777" w:rsidR="00CA411F" w:rsidRDefault="00746B4C">
            <w:pPr>
              <w:numPr>
                <w:ilvl w:val="0"/>
                <w:numId w:val="8"/>
              </w:numPr>
              <w:spacing w:line="276" w:lineRule="auto"/>
              <w:ind w:left="644"/>
              <w:rPr>
                <w:szCs w:val="22"/>
              </w:rPr>
            </w:pPr>
            <w:r>
              <w:rPr>
                <w:szCs w:val="22"/>
              </w:rPr>
              <w:t xml:space="preserve">Până la 90% pentru </w:t>
            </w:r>
            <w:r>
              <w:rPr>
                <w:szCs w:val="22"/>
              </w:rPr>
              <w:t xml:space="preserve">investiții generatoare de venit </w:t>
            </w:r>
          </w:p>
          <w:p w14:paraId="3C6DE33A" w14:textId="77777777" w:rsidR="00CA411F" w:rsidRDefault="00746B4C">
            <w:pPr>
              <w:spacing w:line="276" w:lineRule="auto"/>
            </w:pPr>
            <w:r>
              <w:rPr>
                <w:b/>
                <w:szCs w:val="22"/>
              </w:rPr>
              <w:t>Valoarea sprijinului</w:t>
            </w:r>
            <w:r>
              <w:rPr>
                <w:szCs w:val="22"/>
              </w:rPr>
              <w:t>: 5.000 - 100.000 EUR/proiect</w:t>
            </w:r>
          </w:p>
        </w:tc>
      </w:tr>
      <w:tr w:rsidR="00CA411F" w14:paraId="46DA621C" w14:textId="77777777">
        <w:tblPrEx>
          <w:tblCellMar>
            <w:top w:w="0" w:type="dxa"/>
            <w:bottom w:w="0" w:type="dxa"/>
          </w:tblCellMar>
        </w:tblPrEx>
        <w:trPr>
          <w:trHeight w:val="325"/>
          <w:jc w:val="center"/>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0BC09" w14:textId="77777777" w:rsidR="00CA411F" w:rsidRDefault="00746B4C">
            <w:pPr>
              <w:spacing w:line="276" w:lineRule="auto"/>
              <w:rPr>
                <w:b/>
                <w:szCs w:val="22"/>
              </w:rPr>
            </w:pPr>
            <w:r>
              <w:rPr>
                <w:b/>
                <w:szCs w:val="22"/>
              </w:rPr>
              <w:t>10. Indicatori de monitorizare</w:t>
            </w:r>
          </w:p>
        </w:tc>
      </w:tr>
      <w:tr w:rsidR="00CA411F" w14:paraId="037658AE" w14:textId="77777777">
        <w:tblPrEx>
          <w:tblCellMar>
            <w:top w:w="0" w:type="dxa"/>
            <w:bottom w:w="0" w:type="dxa"/>
          </w:tblCellMar>
        </w:tblPrEx>
        <w:trPr>
          <w:trHeight w:val="440"/>
          <w:jc w:val="center"/>
        </w:trPr>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2B8E5" w14:textId="77777777" w:rsidR="00CA411F" w:rsidRDefault="00746B4C">
            <w:pPr>
              <w:spacing w:line="276" w:lineRule="auto"/>
              <w:rPr>
                <w:szCs w:val="22"/>
              </w:rPr>
            </w:pPr>
            <w:r>
              <w:rPr>
                <w:szCs w:val="22"/>
              </w:rPr>
              <w:t>Populație netă care beneficiază de servicii/infrastructuri îmbunătățite</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BF22B" w14:textId="77777777" w:rsidR="00CA411F" w:rsidRDefault="00746B4C">
            <w:pPr>
              <w:spacing w:line="276" w:lineRule="auto"/>
              <w:rPr>
                <w:b/>
                <w:szCs w:val="22"/>
              </w:rPr>
            </w:pPr>
            <w:r>
              <w:rPr>
                <w:b/>
                <w:szCs w:val="22"/>
              </w:rPr>
              <w:t>80 persoane</w:t>
            </w:r>
          </w:p>
        </w:tc>
      </w:tr>
      <w:tr w:rsidR="00CA411F" w14:paraId="55E42018" w14:textId="77777777">
        <w:tblPrEx>
          <w:tblCellMar>
            <w:top w:w="0" w:type="dxa"/>
            <w:bottom w:w="0" w:type="dxa"/>
          </w:tblCellMar>
        </w:tblPrEx>
        <w:trPr>
          <w:trHeight w:val="440"/>
          <w:jc w:val="center"/>
        </w:trPr>
        <w:tc>
          <w:tcPr>
            <w:tcW w:w="64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4C4D4" w14:textId="77777777" w:rsidR="00CA411F" w:rsidRDefault="00746B4C">
            <w:pPr>
              <w:spacing w:line="276" w:lineRule="auto"/>
              <w:rPr>
                <w:szCs w:val="22"/>
              </w:rPr>
            </w:pPr>
            <w:r>
              <w:rPr>
                <w:szCs w:val="22"/>
              </w:rPr>
              <w:t>Cheltuieli publice totale</w:t>
            </w:r>
          </w:p>
        </w:tc>
        <w:tc>
          <w:tcPr>
            <w:tcW w:w="2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FED00" w14:textId="77777777" w:rsidR="00CA411F" w:rsidRDefault="00746B4C">
            <w:pPr>
              <w:spacing w:line="276" w:lineRule="auto"/>
              <w:rPr>
                <w:b/>
                <w:szCs w:val="22"/>
              </w:rPr>
            </w:pPr>
            <w:r>
              <w:rPr>
                <w:b/>
                <w:szCs w:val="22"/>
              </w:rPr>
              <w:t>100.000 EUR</w:t>
            </w:r>
          </w:p>
        </w:tc>
      </w:tr>
    </w:tbl>
    <w:p w14:paraId="2BB025BE" w14:textId="77777777" w:rsidR="00CA411F" w:rsidRDefault="00CA411F">
      <w:pPr>
        <w:spacing w:line="276" w:lineRule="auto"/>
        <w:rPr>
          <w:szCs w:val="22"/>
          <w:lang w:val="ro-RO"/>
        </w:rPr>
      </w:pPr>
    </w:p>
    <w:p w14:paraId="1FA4A884" w14:textId="77777777" w:rsidR="00CA411F" w:rsidRDefault="00CA411F">
      <w:pPr>
        <w:spacing w:line="276" w:lineRule="auto"/>
        <w:rPr>
          <w:szCs w:val="22"/>
          <w:lang w:val="ro-RO"/>
        </w:rPr>
      </w:pPr>
    </w:p>
    <w:p w14:paraId="0AE1962A" w14:textId="77777777" w:rsidR="00CA411F" w:rsidRDefault="00CA411F">
      <w:pPr>
        <w:rPr>
          <w:b/>
        </w:rPr>
      </w:pPr>
    </w:p>
    <w:sectPr w:rsidR="00CA411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EE2C7" w14:textId="77777777" w:rsidR="00746B4C" w:rsidRDefault="00746B4C">
      <w:pPr>
        <w:spacing w:line="240" w:lineRule="auto"/>
      </w:pPr>
      <w:r>
        <w:separator/>
      </w:r>
    </w:p>
  </w:endnote>
  <w:endnote w:type="continuationSeparator" w:id="0">
    <w:p w14:paraId="45D506C5" w14:textId="77777777" w:rsidR="00746B4C" w:rsidRDefault="00746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Albertina">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21FE" w14:textId="77777777" w:rsidR="00746B4C" w:rsidRDefault="00746B4C">
      <w:pPr>
        <w:spacing w:line="240" w:lineRule="auto"/>
      </w:pPr>
      <w:r>
        <w:rPr>
          <w:color w:val="000000"/>
        </w:rPr>
        <w:separator/>
      </w:r>
    </w:p>
  </w:footnote>
  <w:footnote w:type="continuationSeparator" w:id="0">
    <w:p w14:paraId="4F4C40A9" w14:textId="77777777" w:rsidR="00746B4C" w:rsidRDefault="00746B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50CB0"/>
    <w:multiLevelType w:val="multilevel"/>
    <w:tmpl w:val="C6B0E26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30506B"/>
    <w:multiLevelType w:val="multilevel"/>
    <w:tmpl w:val="BDB09916"/>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3EC30322"/>
    <w:multiLevelType w:val="multilevel"/>
    <w:tmpl w:val="C1508DC4"/>
    <w:lvl w:ilvl="0">
      <w:numFmt w:val="bullet"/>
      <w:lvlText w:val="-"/>
      <w:lvlJc w:val="left"/>
      <w:pPr>
        <w:ind w:left="502" w:hanging="360"/>
      </w:pPr>
      <w:rPr>
        <w:rFonts w:ascii="Century Gothic" w:eastAsia="Times New Roman" w:hAnsi="Century Gothic"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41FB6ADA"/>
    <w:multiLevelType w:val="multilevel"/>
    <w:tmpl w:val="FA1493B6"/>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4BB23410"/>
    <w:multiLevelType w:val="multilevel"/>
    <w:tmpl w:val="0AEC4E20"/>
    <w:lvl w:ilvl="0">
      <w:start w:val="7"/>
      <w:numFmt w:val="decimal"/>
      <w:lvlText w:val="%1."/>
      <w:lvlJc w:val="left"/>
      <w:pPr>
        <w:ind w:left="720" w:hanging="360"/>
      </w:p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15:restartNumberingAfterBreak="0">
    <w:nsid w:val="4CCE4AE0"/>
    <w:multiLevelType w:val="multilevel"/>
    <w:tmpl w:val="7FEC0DBC"/>
    <w:lvl w:ilvl="0">
      <w:numFmt w:val="bullet"/>
      <w:lvlText w:val="-"/>
      <w:lvlJc w:val="left"/>
      <w:pPr>
        <w:ind w:left="360" w:hanging="360"/>
      </w:pPr>
      <w:rPr>
        <w:rFonts w:ascii="Trebuchet MS" w:eastAsia="Times New Roman" w:hAnsi="Trebuchet M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5D7A6BF0"/>
    <w:multiLevelType w:val="multilevel"/>
    <w:tmpl w:val="54720378"/>
    <w:lvl w:ilvl="0">
      <w:numFmt w:val="bullet"/>
      <w:lvlText w:val=""/>
      <w:lvlJc w:val="left"/>
      <w:pPr>
        <w:ind w:left="360" w:hanging="360"/>
      </w:pPr>
      <w:rPr>
        <w:rFonts w:ascii="Symbol" w:hAnsi="Symbol"/>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7EEF6A3A"/>
    <w:multiLevelType w:val="multilevel"/>
    <w:tmpl w:val="FD6808C8"/>
    <w:lvl w:ilvl="0">
      <w:numFmt w:val="bullet"/>
      <w:lvlText w:val="-"/>
      <w:lvlJc w:val="left"/>
      <w:pPr>
        <w:ind w:left="720" w:hanging="360"/>
      </w:pPr>
      <w:rPr>
        <w:rFonts w:ascii="Trebuchet MS" w:eastAsia="Times New Roman" w:hAnsi="Trebuchet MS"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6"/>
  </w:num>
  <w:num w:numId="3">
    <w:abstractNumId w:val="7"/>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A411F"/>
    <w:rsid w:val="00746B4C"/>
    <w:rsid w:val="009C407E"/>
    <w:rsid w:val="00CA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F3F9"/>
  <w15:docId w15:val="{E25E557F-2C11-49C0-A32E-62132486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300" w:lineRule="auto"/>
      <w:jc w:val="both"/>
    </w:pPr>
    <w:rPr>
      <w:rFonts w:ascii="Trebuchet MS" w:eastAsia="Times New Roman" w:hAnsi="Trebuchet MS"/>
      <w:szCs w:val="1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ascii="Times New Roman" w:hAnsi="Times New Roman"/>
      <w:color w:val="000000"/>
      <w:sz w:val="24"/>
      <w:szCs w:val="24"/>
      <w:lang w:val="ro-RO"/>
    </w:rPr>
  </w:style>
  <w:style w:type="character" w:customStyle="1" w:styleId="ListParagraphChar">
    <w:name w:val="List Paragraph Char"/>
    <w:rPr>
      <w:rFonts w:ascii="Trebuchet MS" w:eastAsia="Times New Roman" w:hAnsi="Trebuchet MS"/>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dc:description/>
  <cp:lastModifiedBy>123</cp:lastModifiedBy>
  <cp:revision>2</cp:revision>
  <dcterms:created xsi:type="dcterms:W3CDTF">2018-08-30T21:18:00Z</dcterms:created>
  <dcterms:modified xsi:type="dcterms:W3CDTF">2018-08-30T21:18:00Z</dcterms:modified>
</cp:coreProperties>
</file>